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CF" w:rsidRDefault="00D359CF" w:rsidP="00D359CF">
      <w:pPr>
        <w:jc w:val="center"/>
      </w:pPr>
    </w:p>
    <w:p w:rsidR="00C144B9" w:rsidRPr="00A16CC6" w:rsidRDefault="00944E47" w:rsidP="00D66C29">
      <w:pPr>
        <w:pStyle w:val="Title"/>
      </w:pPr>
      <w:r>
        <w:t>DSRIP</w:t>
      </w:r>
      <w:r w:rsidR="00D66C29">
        <w:t xml:space="preserve"> </w:t>
      </w:r>
      <w:r w:rsidR="009D0810" w:rsidRPr="00A16CC6">
        <w:t>Provider Reporting</w:t>
      </w:r>
    </w:p>
    <w:p w:rsidR="00C144B9" w:rsidRDefault="009D0810" w:rsidP="00A16CC6">
      <w:pPr>
        <w:pStyle w:val="Title"/>
      </w:pPr>
      <w:r w:rsidRPr="00A16CC6">
        <w:t>Potentially Preventable Admissions</w:t>
      </w:r>
    </w:p>
    <w:p w:rsidR="009D0810" w:rsidRPr="00A16CC6" w:rsidRDefault="009D0810" w:rsidP="00A16CC6">
      <w:pPr>
        <w:pStyle w:val="Subtitle2"/>
      </w:pPr>
      <w:r w:rsidRPr="00A16CC6">
        <w:t>Technical Notes</w:t>
      </w:r>
    </w:p>
    <w:p w:rsidR="00C144B9" w:rsidRPr="002B0B9F" w:rsidRDefault="00C144B9" w:rsidP="002B0B9F">
      <w:pPr>
        <w:rPr>
          <w:highlight w:val="yellow"/>
        </w:rPr>
      </w:pPr>
    </w:p>
    <w:p w:rsidR="00A16CC6" w:rsidRPr="00A16CC6" w:rsidRDefault="00A16CC6" w:rsidP="00A16CC6">
      <w:pPr>
        <w:pStyle w:val="Subtitle2"/>
      </w:pPr>
      <w:r>
        <w:t xml:space="preserve">Patient Population: Texas Medicaid and CHIP </w:t>
      </w:r>
    </w:p>
    <w:p w:rsidR="00C144B9" w:rsidRPr="00222F72" w:rsidRDefault="00A16CC6" w:rsidP="00A16CC6">
      <w:pPr>
        <w:pStyle w:val="Subtitle2"/>
      </w:pPr>
      <w:r>
        <w:t>Measurement</w:t>
      </w:r>
      <w:r w:rsidR="00D85408">
        <w:t xml:space="preserve"> Year: </w:t>
      </w:r>
      <w:r w:rsidR="00944E47">
        <w:t xml:space="preserve">Calendar Year </w:t>
      </w:r>
      <w:r w:rsidR="00D85408">
        <w:t>201</w:t>
      </w:r>
      <w:r w:rsidR="00D66C29">
        <w:t>4</w:t>
      </w:r>
    </w:p>
    <w:p w:rsidR="00C144B9" w:rsidRDefault="00C144B9" w:rsidP="00D66C29">
      <w:pPr>
        <w:spacing w:after="120"/>
        <w:rPr>
          <w:rFonts w:cs="Arial"/>
          <w:b/>
        </w:rPr>
      </w:pPr>
    </w:p>
    <w:p w:rsidR="00D66C29" w:rsidRDefault="00D66C29" w:rsidP="00D66C29">
      <w:pPr>
        <w:spacing w:after="120"/>
        <w:rPr>
          <w:rFonts w:cs="Arial"/>
          <w:b/>
        </w:rPr>
      </w:pPr>
    </w:p>
    <w:p w:rsidR="00D66C29" w:rsidRPr="00222F72" w:rsidRDefault="00D66C29" w:rsidP="00D66C29">
      <w:pPr>
        <w:spacing w:after="120"/>
        <w:rPr>
          <w:rFonts w:cs="Arial"/>
          <w:b/>
        </w:rPr>
      </w:pPr>
    </w:p>
    <w:p w:rsidR="00C144B9" w:rsidRPr="00222F72" w:rsidRDefault="00C144B9" w:rsidP="00111541">
      <w:pPr>
        <w:spacing w:after="120"/>
        <w:jc w:val="center"/>
        <w:rPr>
          <w:rFonts w:cs="Arial"/>
          <w:b/>
        </w:rPr>
      </w:pPr>
      <w:r w:rsidRPr="00222F72">
        <w:rPr>
          <w:rFonts w:cs="Arial"/>
          <w:b/>
        </w:rPr>
        <w:t>The Institute for Child Health Policy</w:t>
      </w:r>
    </w:p>
    <w:p w:rsidR="00C144B9" w:rsidRPr="00222F72" w:rsidRDefault="00C144B9" w:rsidP="00D66C29">
      <w:pPr>
        <w:spacing w:after="120"/>
        <w:jc w:val="center"/>
        <w:rPr>
          <w:rFonts w:cs="Arial"/>
          <w:b/>
        </w:rPr>
      </w:pPr>
      <w:r w:rsidRPr="00222F72">
        <w:rPr>
          <w:rFonts w:cs="Arial"/>
          <w:b/>
        </w:rPr>
        <w:t>University of Florida</w:t>
      </w:r>
    </w:p>
    <w:p w:rsidR="00C144B9" w:rsidRDefault="00C144B9" w:rsidP="00111541">
      <w:pPr>
        <w:spacing w:after="120"/>
        <w:jc w:val="center"/>
        <w:rPr>
          <w:rFonts w:cs="Arial"/>
          <w:b/>
        </w:rPr>
      </w:pPr>
    </w:p>
    <w:p w:rsidR="00D66C29" w:rsidRPr="00222F72" w:rsidRDefault="00D66C29" w:rsidP="00111541">
      <w:pPr>
        <w:spacing w:after="120"/>
        <w:jc w:val="center"/>
        <w:rPr>
          <w:rFonts w:cs="Arial"/>
          <w:b/>
        </w:rPr>
      </w:pPr>
    </w:p>
    <w:p w:rsidR="00C144B9" w:rsidRPr="00222F72" w:rsidRDefault="00C144B9" w:rsidP="00111541">
      <w:pPr>
        <w:spacing w:after="120"/>
        <w:jc w:val="center"/>
        <w:rPr>
          <w:rFonts w:cs="Arial"/>
          <w:b/>
        </w:rPr>
      </w:pPr>
      <w:r w:rsidRPr="00222F72">
        <w:rPr>
          <w:rFonts w:cs="Arial"/>
          <w:b/>
        </w:rPr>
        <w:t>The External Quality Review Organization</w:t>
      </w:r>
    </w:p>
    <w:p w:rsidR="00C144B9" w:rsidRDefault="00C144B9" w:rsidP="00111541">
      <w:pPr>
        <w:spacing w:after="120"/>
        <w:jc w:val="center"/>
        <w:rPr>
          <w:rFonts w:cs="Arial"/>
          <w:b/>
        </w:rPr>
      </w:pPr>
      <w:r w:rsidRPr="00222F72">
        <w:rPr>
          <w:rFonts w:cs="Arial"/>
          <w:b/>
        </w:rPr>
        <w:t>for Texas Medicaid Managed Care and CHIP</w:t>
      </w:r>
    </w:p>
    <w:p w:rsidR="00D66C29" w:rsidRDefault="00D66C29" w:rsidP="00111541">
      <w:pPr>
        <w:spacing w:after="120"/>
        <w:jc w:val="center"/>
        <w:rPr>
          <w:rFonts w:cs="Arial"/>
          <w:b/>
        </w:rPr>
      </w:pPr>
    </w:p>
    <w:p w:rsidR="00D66C29" w:rsidRDefault="00D66C29" w:rsidP="00111541">
      <w:pPr>
        <w:spacing w:after="120"/>
        <w:jc w:val="center"/>
        <w:rPr>
          <w:rFonts w:cs="Arial"/>
          <w:b/>
        </w:rPr>
      </w:pPr>
    </w:p>
    <w:p w:rsidR="00D66C29" w:rsidRPr="00D66C29" w:rsidRDefault="00923CC3" w:rsidP="00111541">
      <w:pPr>
        <w:spacing w:after="120"/>
        <w:jc w:val="center"/>
        <w:rPr>
          <w:rFonts w:cs="Arial"/>
        </w:rPr>
      </w:pPr>
      <w:r>
        <w:rPr>
          <w:rFonts w:cs="Arial"/>
        </w:rPr>
        <w:t>Issue Date: March 21</w:t>
      </w:r>
      <w:r w:rsidR="00D66C29" w:rsidRPr="00D66C29">
        <w:rPr>
          <w:rFonts w:cs="Arial"/>
        </w:rPr>
        <w:t>, 2016</w:t>
      </w:r>
    </w:p>
    <w:p w:rsidR="00D66C29" w:rsidRDefault="00D66C29" w:rsidP="00111541">
      <w:pPr>
        <w:spacing w:after="120"/>
        <w:jc w:val="center"/>
        <w:rPr>
          <w:rFonts w:cs="Arial"/>
          <w:b/>
        </w:rPr>
      </w:pPr>
    </w:p>
    <w:p w:rsidR="00D66C29" w:rsidRDefault="00D66C29" w:rsidP="00111541">
      <w:pPr>
        <w:spacing w:after="120"/>
        <w:jc w:val="center"/>
        <w:rPr>
          <w:rFonts w:cs="Arial"/>
          <w:b/>
        </w:rPr>
      </w:pPr>
    </w:p>
    <w:p w:rsidR="00D66C29" w:rsidRPr="00222F72" w:rsidRDefault="00D66C29" w:rsidP="00111541">
      <w:pPr>
        <w:spacing w:after="120"/>
        <w:jc w:val="center"/>
        <w:rPr>
          <w:rFonts w:cs="Arial"/>
          <w:b/>
        </w:rPr>
      </w:pPr>
    </w:p>
    <w:p w:rsidR="00C144B9" w:rsidRPr="00D359CF" w:rsidRDefault="00C144B9" w:rsidP="00111541">
      <w:pPr>
        <w:spacing w:after="120"/>
        <w:jc w:val="center"/>
        <w:rPr>
          <w:rFonts w:ascii="Arial" w:hAnsi="Arial" w:cs="Arial"/>
          <w:b/>
        </w:rPr>
      </w:pPr>
    </w:p>
    <w:p w:rsidR="00C144B9" w:rsidRPr="00D359CF" w:rsidRDefault="00C144B9" w:rsidP="00111541">
      <w:pPr>
        <w:spacing w:after="120"/>
        <w:jc w:val="center"/>
        <w:rPr>
          <w:rFonts w:ascii="Arial" w:hAnsi="Arial" w:cs="Arial"/>
          <w:b/>
        </w:rPr>
      </w:pPr>
    </w:p>
    <w:p w:rsidR="00267122" w:rsidRPr="00631C9A" w:rsidRDefault="00267122" w:rsidP="00267122">
      <w:pPr>
        <w:sectPr w:rsidR="00267122" w:rsidRPr="00631C9A" w:rsidSect="00C144B9">
          <w:headerReference w:type="default" r:id="rId8"/>
          <w:footerReference w:type="default" r:id="rId9"/>
          <w:pgSz w:w="12240" w:h="15840"/>
          <w:pgMar w:top="1440" w:right="1440" w:bottom="1440" w:left="1440" w:header="720" w:footer="720" w:gutter="0"/>
          <w:pgNumType w:fmt="lowerRoman"/>
          <w:cols w:space="720"/>
          <w:docGrid w:linePitch="360"/>
        </w:sectPr>
      </w:pPr>
    </w:p>
    <w:sdt>
      <w:sdtPr>
        <w:rPr>
          <w:rFonts w:asciiTheme="minorHAnsi" w:eastAsiaTheme="minorHAnsi" w:hAnsiTheme="minorHAnsi" w:cstheme="minorBidi"/>
          <w:b w:val="0"/>
          <w:bCs w:val="0"/>
          <w:sz w:val="22"/>
          <w:szCs w:val="22"/>
          <w:lang w:eastAsia="en-US"/>
        </w:rPr>
        <w:id w:val="12496770"/>
        <w:docPartObj>
          <w:docPartGallery w:val="Table of Contents"/>
          <w:docPartUnique/>
        </w:docPartObj>
      </w:sdtPr>
      <w:sdtEndPr>
        <w:rPr>
          <w:noProof/>
        </w:rPr>
      </w:sdtEndPr>
      <w:sdtContent>
        <w:p w:rsidR="00267122" w:rsidRPr="00631C9A" w:rsidRDefault="00267122" w:rsidP="004D1BE4">
          <w:pPr>
            <w:pStyle w:val="TOCHeading"/>
            <w:spacing w:before="0"/>
          </w:pPr>
          <w:r w:rsidRPr="00631C9A">
            <w:t>Table of Contents</w:t>
          </w:r>
        </w:p>
        <w:p w:rsidR="00923CC3" w:rsidRDefault="0051725C">
          <w:pPr>
            <w:pStyle w:val="TOC1"/>
            <w:tabs>
              <w:tab w:val="right" w:leader="dot" w:pos="9350"/>
            </w:tabs>
            <w:rPr>
              <w:rFonts w:eastAsiaTheme="minorEastAsia"/>
              <w:noProof/>
            </w:rPr>
          </w:pPr>
          <w:r w:rsidRPr="00631C9A">
            <w:fldChar w:fldCharType="begin"/>
          </w:r>
          <w:r w:rsidR="00267122" w:rsidRPr="00631C9A">
            <w:instrText xml:space="preserve"> TOC \o "1-3" \h \z \u </w:instrText>
          </w:r>
          <w:r w:rsidRPr="00631C9A">
            <w:fldChar w:fldCharType="separate"/>
          </w:r>
          <w:bookmarkStart w:id="0" w:name="_GoBack"/>
          <w:bookmarkEnd w:id="0"/>
          <w:r w:rsidR="00923CC3" w:rsidRPr="002E7B1E">
            <w:rPr>
              <w:rStyle w:val="Hyperlink"/>
              <w:noProof/>
            </w:rPr>
            <w:fldChar w:fldCharType="begin"/>
          </w:r>
          <w:r w:rsidR="00923CC3" w:rsidRPr="002E7B1E">
            <w:rPr>
              <w:rStyle w:val="Hyperlink"/>
              <w:noProof/>
            </w:rPr>
            <w:instrText xml:space="preserve"> </w:instrText>
          </w:r>
          <w:r w:rsidR="00923CC3">
            <w:rPr>
              <w:noProof/>
            </w:rPr>
            <w:instrText>HYPERLINK \l "_Toc446330045"</w:instrText>
          </w:r>
          <w:r w:rsidR="00923CC3" w:rsidRPr="002E7B1E">
            <w:rPr>
              <w:rStyle w:val="Hyperlink"/>
              <w:noProof/>
            </w:rPr>
            <w:instrText xml:space="preserve"> </w:instrText>
          </w:r>
          <w:r w:rsidR="00923CC3" w:rsidRPr="002E7B1E">
            <w:rPr>
              <w:rStyle w:val="Hyperlink"/>
              <w:noProof/>
            </w:rPr>
          </w:r>
          <w:r w:rsidR="00923CC3" w:rsidRPr="002E7B1E">
            <w:rPr>
              <w:rStyle w:val="Hyperlink"/>
              <w:noProof/>
            </w:rPr>
            <w:fldChar w:fldCharType="separate"/>
          </w:r>
          <w:r w:rsidR="00923CC3" w:rsidRPr="002E7B1E">
            <w:rPr>
              <w:rStyle w:val="Hyperlink"/>
              <w:noProof/>
            </w:rPr>
            <w:t>Section 1. Introduction</w:t>
          </w:r>
          <w:r w:rsidR="00923CC3">
            <w:rPr>
              <w:noProof/>
              <w:webHidden/>
            </w:rPr>
            <w:tab/>
          </w:r>
          <w:r w:rsidR="00923CC3">
            <w:rPr>
              <w:noProof/>
              <w:webHidden/>
            </w:rPr>
            <w:fldChar w:fldCharType="begin"/>
          </w:r>
          <w:r w:rsidR="00923CC3">
            <w:rPr>
              <w:noProof/>
              <w:webHidden/>
            </w:rPr>
            <w:instrText xml:space="preserve"> PAGEREF _Toc446330045 \h </w:instrText>
          </w:r>
          <w:r w:rsidR="00923CC3">
            <w:rPr>
              <w:noProof/>
              <w:webHidden/>
            </w:rPr>
          </w:r>
          <w:r w:rsidR="00923CC3">
            <w:rPr>
              <w:noProof/>
              <w:webHidden/>
            </w:rPr>
            <w:fldChar w:fldCharType="separate"/>
          </w:r>
          <w:r w:rsidR="00923CC3">
            <w:rPr>
              <w:noProof/>
              <w:webHidden/>
            </w:rPr>
            <w:t>1</w:t>
          </w:r>
          <w:r w:rsidR="00923CC3">
            <w:rPr>
              <w:noProof/>
              <w:webHidden/>
            </w:rPr>
            <w:fldChar w:fldCharType="end"/>
          </w:r>
          <w:r w:rsidR="00923CC3" w:rsidRPr="002E7B1E">
            <w:rPr>
              <w:rStyle w:val="Hyperlink"/>
              <w:noProof/>
            </w:rPr>
            <w:fldChar w:fldCharType="end"/>
          </w:r>
        </w:p>
        <w:p w:rsidR="00923CC3" w:rsidRDefault="00923CC3">
          <w:pPr>
            <w:pStyle w:val="TOC1"/>
            <w:tabs>
              <w:tab w:val="right" w:leader="dot" w:pos="9350"/>
            </w:tabs>
            <w:rPr>
              <w:rFonts w:eastAsiaTheme="minorEastAsia"/>
              <w:noProof/>
            </w:rPr>
          </w:pPr>
          <w:hyperlink w:anchor="_Toc446330046" w:history="1">
            <w:r w:rsidRPr="002E7B1E">
              <w:rPr>
                <w:rStyle w:val="Hyperlink"/>
                <w:noProof/>
              </w:rPr>
              <w:t>Section 2. Comparison of PPA to Prevention Quality Indicators</w:t>
            </w:r>
            <w:r>
              <w:rPr>
                <w:noProof/>
                <w:webHidden/>
              </w:rPr>
              <w:tab/>
            </w:r>
            <w:r>
              <w:rPr>
                <w:noProof/>
                <w:webHidden/>
              </w:rPr>
              <w:fldChar w:fldCharType="begin"/>
            </w:r>
            <w:r>
              <w:rPr>
                <w:noProof/>
                <w:webHidden/>
              </w:rPr>
              <w:instrText xml:space="preserve"> PAGEREF _Toc446330046 \h </w:instrText>
            </w:r>
            <w:r>
              <w:rPr>
                <w:noProof/>
                <w:webHidden/>
              </w:rPr>
            </w:r>
            <w:r>
              <w:rPr>
                <w:noProof/>
                <w:webHidden/>
              </w:rPr>
              <w:fldChar w:fldCharType="separate"/>
            </w:r>
            <w:r>
              <w:rPr>
                <w:noProof/>
                <w:webHidden/>
              </w:rPr>
              <w:t>1</w:t>
            </w:r>
            <w:r>
              <w:rPr>
                <w:noProof/>
                <w:webHidden/>
              </w:rPr>
              <w:fldChar w:fldCharType="end"/>
            </w:r>
          </w:hyperlink>
        </w:p>
        <w:p w:rsidR="00923CC3" w:rsidRDefault="00923CC3">
          <w:pPr>
            <w:pStyle w:val="TOC1"/>
            <w:tabs>
              <w:tab w:val="right" w:leader="dot" w:pos="9350"/>
            </w:tabs>
            <w:rPr>
              <w:rFonts w:eastAsiaTheme="minorEastAsia"/>
              <w:noProof/>
            </w:rPr>
          </w:pPr>
          <w:hyperlink w:anchor="_Toc446330047" w:history="1">
            <w:r w:rsidRPr="002E7B1E">
              <w:rPr>
                <w:rStyle w:val="Hyperlink"/>
                <w:noProof/>
              </w:rPr>
              <w:t>Section 3. PPA Logic and Calculation of Rates and Expenditures for Facilities</w:t>
            </w:r>
            <w:r>
              <w:rPr>
                <w:noProof/>
                <w:webHidden/>
              </w:rPr>
              <w:tab/>
            </w:r>
            <w:r>
              <w:rPr>
                <w:noProof/>
                <w:webHidden/>
              </w:rPr>
              <w:fldChar w:fldCharType="begin"/>
            </w:r>
            <w:r>
              <w:rPr>
                <w:noProof/>
                <w:webHidden/>
              </w:rPr>
              <w:instrText xml:space="preserve"> PAGEREF _Toc446330047 \h </w:instrText>
            </w:r>
            <w:r>
              <w:rPr>
                <w:noProof/>
                <w:webHidden/>
              </w:rPr>
            </w:r>
            <w:r>
              <w:rPr>
                <w:noProof/>
                <w:webHidden/>
              </w:rPr>
              <w:fldChar w:fldCharType="separate"/>
            </w:r>
            <w:r>
              <w:rPr>
                <w:noProof/>
                <w:webHidden/>
              </w:rPr>
              <w:t>2</w:t>
            </w:r>
            <w:r>
              <w:rPr>
                <w:noProof/>
                <w:webHidden/>
              </w:rPr>
              <w:fldChar w:fldCharType="end"/>
            </w:r>
          </w:hyperlink>
        </w:p>
        <w:p w:rsidR="00923CC3" w:rsidRDefault="00923CC3">
          <w:pPr>
            <w:pStyle w:val="TOC1"/>
            <w:tabs>
              <w:tab w:val="right" w:leader="dot" w:pos="9350"/>
            </w:tabs>
            <w:rPr>
              <w:rFonts w:eastAsiaTheme="minorEastAsia"/>
              <w:noProof/>
            </w:rPr>
          </w:pPr>
          <w:hyperlink w:anchor="_Toc446330048" w:history="1">
            <w:r w:rsidRPr="002E7B1E">
              <w:rPr>
                <w:rStyle w:val="Hyperlink"/>
                <w:noProof/>
              </w:rPr>
              <w:t>Section 4. PPA Processing for Facility Reports</w:t>
            </w:r>
            <w:r>
              <w:rPr>
                <w:noProof/>
                <w:webHidden/>
              </w:rPr>
              <w:tab/>
            </w:r>
            <w:r>
              <w:rPr>
                <w:noProof/>
                <w:webHidden/>
              </w:rPr>
              <w:fldChar w:fldCharType="begin"/>
            </w:r>
            <w:r>
              <w:rPr>
                <w:noProof/>
                <w:webHidden/>
              </w:rPr>
              <w:instrText xml:space="preserve"> PAGEREF _Toc446330048 \h </w:instrText>
            </w:r>
            <w:r>
              <w:rPr>
                <w:noProof/>
                <w:webHidden/>
              </w:rPr>
            </w:r>
            <w:r>
              <w:rPr>
                <w:noProof/>
                <w:webHidden/>
              </w:rPr>
              <w:fldChar w:fldCharType="separate"/>
            </w:r>
            <w:r>
              <w:rPr>
                <w:noProof/>
                <w:webHidden/>
              </w:rPr>
              <w:t>2</w:t>
            </w:r>
            <w:r>
              <w:rPr>
                <w:noProof/>
                <w:webHidden/>
              </w:rPr>
              <w:fldChar w:fldCharType="end"/>
            </w:r>
          </w:hyperlink>
        </w:p>
        <w:p w:rsidR="00923CC3" w:rsidRDefault="00923CC3">
          <w:pPr>
            <w:pStyle w:val="TOC1"/>
            <w:tabs>
              <w:tab w:val="right" w:leader="dot" w:pos="9350"/>
            </w:tabs>
            <w:rPr>
              <w:rFonts w:eastAsiaTheme="minorEastAsia"/>
              <w:noProof/>
            </w:rPr>
          </w:pPr>
          <w:hyperlink w:anchor="_Toc446330049" w:history="1">
            <w:r w:rsidRPr="002E7B1E">
              <w:rPr>
                <w:rStyle w:val="Hyperlink"/>
                <w:noProof/>
              </w:rPr>
              <w:t>Section 5. Guide to the Facility Report</w:t>
            </w:r>
            <w:r>
              <w:rPr>
                <w:noProof/>
                <w:webHidden/>
              </w:rPr>
              <w:tab/>
            </w:r>
            <w:r>
              <w:rPr>
                <w:noProof/>
                <w:webHidden/>
              </w:rPr>
              <w:fldChar w:fldCharType="begin"/>
            </w:r>
            <w:r>
              <w:rPr>
                <w:noProof/>
                <w:webHidden/>
              </w:rPr>
              <w:instrText xml:space="preserve"> PAGEREF _Toc446330049 \h </w:instrText>
            </w:r>
            <w:r>
              <w:rPr>
                <w:noProof/>
                <w:webHidden/>
              </w:rPr>
            </w:r>
            <w:r>
              <w:rPr>
                <w:noProof/>
                <w:webHidden/>
              </w:rPr>
              <w:fldChar w:fldCharType="separate"/>
            </w:r>
            <w:r>
              <w:rPr>
                <w:noProof/>
                <w:webHidden/>
              </w:rPr>
              <w:t>3</w:t>
            </w:r>
            <w:r>
              <w:rPr>
                <w:noProof/>
                <w:webHidden/>
              </w:rPr>
              <w:fldChar w:fldCharType="end"/>
            </w:r>
          </w:hyperlink>
        </w:p>
        <w:p w:rsidR="00923CC3" w:rsidRDefault="00923CC3">
          <w:pPr>
            <w:pStyle w:val="TOC3"/>
            <w:tabs>
              <w:tab w:val="right" w:leader="dot" w:pos="9350"/>
            </w:tabs>
            <w:rPr>
              <w:rFonts w:eastAsiaTheme="minorEastAsia"/>
              <w:noProof/>
            </w:rPr>
          </w:pPr>
          <w:hyperlink w:anchor="_Toc446330050" w:history="1">
            <w:r w:rsidRPr="002E7B1E">
              <w:rPr>
                <w:rStyle w:val="Hyperlink"/>
                <w:noProof/>
              </w:rPr>
              <w:t>State-Wide Provider PPA Rate</w:t>
            </w:r>
            <w:r>
              <w:rPr>
                <w:noProof/>
                <w:webHidden/>
              </w:rPr>
              <w:tab/>
            </w:r>
            <w:r>
              <w:rPr>
                <w:noProof/>
                <w:webHidden/>
              </w:rPr>
              <w:fldChar w:fldCharType="begin"/>
            </w:r>
            <w:r>
              <w:rPr>
                <w:noProof/>
                <w:webHidden/>
              </w:rPr>
              <w:instrText xml:space="preserve"> PAGEREF _Toc446330050 \h </w:instrText>
            </w:r>
            <w:r>
              <w:rPr>
                <w:noProof/>
                <w:webHidden/>
              </w:rPr>
            </w:r>
            <w:r>
              <w:rPr>
                <w:noProof/>
                <w:webHidden/>
              </w:rPr>
              <w:fldChar w:fldCharType="separate"/>
            </w:r>
            <w:r>
              <w:rPr>
                <w:noProof/>
                <w:webHidden/>
              </w:rPr>
              <w:t>4</w:t>
            </w:r>
            <w:r>
              <w:rPr>
                <w:noProof/>
                <w:webHidden/>
              </w:rPr>
              <w:fldChar w:fldCharType="end"/>
            </w:r>
          </w:hyperlink>
        </w:p>
        <w:p w:rsidR="00923CC3" w:rsidRDefault="00923CC3">
          <w:pPr>
            <w:pStyle w:val="TOC3"/>
            <w:tabs>
              <w:tab w:val="right" w:leader="dot" w:pos="9350"/>
            </w:tabs>
            <w:rPr>
              <w:rFonts w:eastAsiaTheme="minorEastAsia"/>
              <w:noProof/>
            </w:rPr>
          </w:pPr>
          <w:hyperlink w:anchor="_Toc446330051" w:history="1">
            <w:r w:rsidRPr="002E7B1E">
              <w:rPr>
                <w:rStyle w:val="Hyperlink"/>
                <w:noProof/>
              </w:rPr>
              <w:t>State-Wide Provider Distributions</w:t>
            </w:r>
            <w:r>
              <w:rPr>
                <w:noProof/>
                <w:webHidden/>
              </w:rPr>
              <w:tab/>
            </w:r>
            <w:r>
              <w:rPr>
                <w:noProof/>
                <w:webHidden/>
              </w:rPr>
              <w:fldChar w:fldCharType="begin"/>
            </w:r>
            <w:r>
              <w:rPr>
                <w:noProof/>
                <w:webHidden/>
              </w:rPr>
              <w:instrText xml:space="preserve"> PAGEREF _Toc446330051 \h </w:instrText>
            </w:r>
            <w:r>
              <w:rPr>
                <w:noProof/>
                <w:webHidden/>
              </w:rPr>
            </w:r>
            <w:r>
              <w:rPr>
                <w:noProof/>
                <w:webHidden/>
              </w:rPr>
              <w:fldChar w:fldCharType="separate"/>
            </w:r>
            <w:r>
              <w:rPr>
                <w:noProof/>
                <w:webHidden/>
              </w:rPr>
              <w:t>4</w:t>
            </w:r>
            <w:r>
              <w:rPr>
                <w:noProof/>
                <w:webHidden/>
              </w:rPr>
              <w:fldChar w:fldCharType="end"/>
            </w:r>
          </w:hyperlink>
        </w:p>
        <w:p w:rsidR="00923CC3" w:rsidRDefault="00923CC3">
          <w:pPr>
            <w:pStyle w:val="TOC3"/>
            <w:tabs>
              <w:tab w:val="right" w:leader="dot" w:pos="9350"/>
            </w:tabs>
            <w:rPr>
              <w:rFonts w:eastAsiaTheme="minorEastAsia"/>
              <w:noProof/>
            </w:rPr>
          </w:pPr>
          <w:hyperlink w:anchor="_Toc446330052" w:history="1">
            <w:r w:rsidRPr="002E7B1E">
              <w:rPr>
                <w:rStyle w:val="Hyperlink"/>
                <w:noProof/>
              </w:rPr>
              <w:t>PPA Results by Category</w:t>
            </w:r>
            <w:r>
              <w:rPr>
                <w:noProof/>
                <w:webHidden/>
              </w:rPr>
              <w:tab/>
            </w:r>
            <w:r>
              <w:rPr>
                <w:noProof/>
                <w:webHidden/>
              </w:rPr>
              <w:fldChar w:fldCharType="begin"/>
            </w:r>
            <w:r>
              <w:rPr>
                <w:noProof/>
                <w:webHidden/>
              </w:rPr>
              <w:instrText xml:space="preserve"> PAGEREF _Toc446330052 \h </w:instrText>
            </w:r>
            <w:r>
              <w:rPr>
                <w:noProof/>
                <w:webHidden/>
              </w:rPr>
            </w:r>
            <w:r>
              <w:rPr>
                <w:noProof/>
                <w:webHidden/>
              </w:rPr>
              <w:fldChar w:fldCharType="separate"/>
            </w:r>
            <w:r>
              <w:rPr>
                <w:noProof/>
                <w:webHidden/>
              </w:rPr>
              <w:t>5</w:t>
            </w:r>
            <w:r>
              <w:rPr>
                <w:noProof/>
                <w:webHidden/>
              </w:rPr>
              <w:fldChar w:fldCharType="end"/>
            </w:r>
          </w:hyperlink>
        </w:p>
        <w:p w:rsidR="00923CC3" w:rsidRDefault="00923CC3">
          <w:pPr>
            <w:pStyle w:val="TOC3"/>
            <w:tabs>
              <w:tab w:val="right" w:leader="dot" w:pos="9350"/>
            </w:tabs>
            <w:rPr>
              <w:rFonts w:eastAsiaTheme="minorEastAsia"/>
              <w:noProof/>
            </w:rPr>
          </w:pPr>
          <w:hyperlink w:anchor="_Toc446330053" w:history="1">
            <w:r w:rsidRPr="002E7B1E">
              <w:rPr>
                <w:rStyle w:val="Hyperlink"/>
                <w:noProof/>
              </w:rPr>
              <w:t>PPA Results by APR-DRG</w:t>
            </w:r>
            <w:r>
              <w:rPr>
                <w:noProof/>
                <w:webHidden/>
              </w:rPr>
              <w:tab/>
            </w:r>
            <w:r>
              <w:rPr>
                <w:noProof/>
                <w:webHidden/>
              </w:rPr>
              <w:fldChar w:fldCharType="begin"/>
            </w:r>
            <w:r>
              <w:rPr>
                <w:noProof/>
                <w:webHidden/>
              </w:rPr>
              <w:instrText xml:space="preserve"> PAGEREF _Toc446330053 \h </w:instrText>
            </w:r>
            <w:r>
              <w:rPr>
                <w:noProof/>
                <w:webHidden/>
              </w:rPr>
            </w:r>
            <w:r>
              <w:rPr>
                <w:noProof/>
                <w:webHidden/>
              </w:rPr>
              <w:fldChar w:fldCharType="separate"/>
            </w:r>
            <w:r>
              <w:rPr>
                <w:noProof/>
                <w:webHidden/>
              </w:rPr>
              <w:t>5</w:t>
            </w:r>
            <w:r>
              <w:rPr>
                <w:noProof/>
                <w:webHidden/>
              </w:rPr>
              <w:fldChar w:fldCharType="end"/>
            </w:r>
          </w:hyperlink>
        </w:p>
        <w:p w:rsidR="00923CC3" w:rsidRDefault="00923CC3">
          <w:pPr>
            <w:pStyle w:val="TOC1"/>
            <w:tabs>
              <w:tab w:val="right" w:leader="dot" w:pos="9350"/>
            </w:tabs>
            <w:rPr>
              <w:rFonts w:eastAsiaTheme="minorEastAsia"/>
              <w:noProof/>
            </w:rPr>
          </w:pPr>
          <w:hyperlink w:anchor="_Toc446330054" w:history="1">
            <w:r w:rsidRPr="002E7B1E">
              <w:rPr>
                <w:rStyle w:val="Hyperlink"/>
                <w:noProof/>
              </w:rPr>
              <w:t>Section 6. Glossary</w:t>
            </w:r>
            <w:r>
              <w:rPr>
                <w:noProof/>
                <w:webHidden/>
              </w:rPr>
              <w:tab/>
            </w:r>
            <w:r>
              <w:rPr>
                <w:noProof/>
                <w:webHidden/>
              </w:rPr>
              <w:fldChar w:fldCharType="begin"/>
            </w:r>
            <w:r>
              <w:rPr>
                <w:noProof/>
                <w:webHidden/>
              </w:rPr>
              <w:instrText xml:space="preserve"> PAGEREF _Toc446330054 \h </w:instrText>
            </w:r>
            <w:r>
              <w:rPr>
                <w:noProof/>
                <w:webHidden/>
              </w:rPr>
            </w:r>
            <w:r>
              <w:rPr>
                <w:noProof/>
                <w:webHidden/>
              </w:rPr>
              <w:fldChar w:fldCharType="separate"/>
            </w:r>
            <w:r>
              <w:rPr>
                <w:noProof/>
                <w:webHidden/>
              </w:rPr>
              <w:t>6</w:t>
            </w:r>
            <w:r>
              <w:rPr>
                <w:noProof/>
                <w:webHidden/>
              </w:rPr>
              <w:fldChar w:fldCharType="end"/>
            </w:r>
          </w:hyperlink>
        </w:p>
        <w:p w:rsidR="00923CC3" w:rsidRDefault="00923CC3">
          <w:pPr>
            <w:pStyle w:val="TOC3"/>
            <w:tabs>
              <w:tab w:val="right" w:leader="dot" w:pos="9350"/>
            </w:tabs>
            <w:rPr>
              <w:rFonts w:eastAsiaTheme="minorEastAsia"/>
              <w:noProof/>
            </w:rPr>
          </w:pPr>
          <w:hyperlink w:anchor="_Toc446330055" w:history="1">
            <w:r w:rsidRPr="002E7B1E">
              <w:rPr>
                <w:rStyle w:val="Hyperlink"/>
                <w:noProof/>
              </w:rPr>
              <w:t>3M™ APR DRGs</w:t>
            </w:r>
            <w:r>
              <w:rPr>
                <w:noProof/>
                <w:webHidden/>
              </w:rPr>
              <w:tab/>
            </w:r>
            <w:r>
              <w:rPr>
                <w:noProof/>
                <w:webHidden/>
              </w:rPr>
              <w:fldChar w:fldCharType="begin"/>
            </w:r>
            <w:r>
              <w:rPr>
                <w:noProof/>
                <w:webHidden/>
              </w:rPr>
              <w:instrText xml:space="preserve"> PAGEREF _Toc446330055 \h </w:instrText>
            </w:r>
            <w:r>
              <w:rPr>
                <w:noProof/>
                <w:webHidden/>
              </w:rPr>
            </w:r>
            <w:r>
              <w:rPr>
                <w:noProof/>
                <w:webHidden/>
              </w:rPr>
              <w:fldChar w:fldCharType="separate"/>
            </w:r>
            <w:r>
              <w:rPr>
                <w:noProof/>
                <w:webHidden/>
              </w:rPr>
              <w:t>6</w:t>
            </w:r>
            <w:r>
              <w:rPr>
                <w:noProof/>
                <w:webHidden/>
              </w:rPr>
              <w:fldChar w:fldCharType="end"/>
            </w:r>
          </w:hyperlink>
        </w:p>
        <w:p w:rsidR="00923CC3" w:rsidRDefault="00923CC3">
          <w:pPr>
            <w:pStyle w:val="TOC3"/>
            <w:tabs>
              <w:tab w:val="right" w:leader="dot" w:pos="9350"/>
            </w:tabs>
            <w:rPr>
              <w:rFonts w:eastAsiaTheme="minorEastAsia"/>
              <w:noProof/>
            </w:rPr>
          </w:pPr>
          <w:hyperlink w:anchor="_Toc446330056" w:history="1">
            <w:r w:rsidRPr="002E7B1E">
              <w:rPr>
                <w:rStyle w:val="Hyperlink"/>
                <w:noProof/>
              </w:rPr>
              <w:t>CRGs</w:t>
            </w:r>
            <w:r>
              <w:rPr>
                <w:noProof/>
                <w:webHidden/>
              </w:rPr>
              <w:tab/>
            </w:r>
            <w:r>
              <w:rPr>
                <w:noProof/>
                <w:webHidden/>
              </w:rPr>
              <w:fldChar w:fldCharType="begin"/>
            </w:r>
            <w:r>
              <w:rPr>
                <w:noProof/>
                <w:webHidden/>
              </w:rPr>
              <w:instrText xml:space="preserve"> PAGEREF _Toc446330056 \h </w:instrText>
            </w:r>
            <w:r>
              <w:rPr>
                <w:noProof/>
                <w:webHidden/>
              </w:rPr>
            </w:r>
            <w:r>
              <w:rPr>
                <w:noProof/>
                <w:webHidden/>
              </w:rPr>
              <w:fldChar w:fldCharType="separate"/>
            </w:r>
            <w:r>
              <w:rPr>
                <w:noProof/>
                <w:webHidden/>
              </w:rPr>
              <w:t>6</w:t>
            </w:r>
            <w:r>
              <w:rPr>
                <w:noProof/>
                <w:webHidden/>
              </w:rPr>
              <w:fldChar w:fldCharType="end"/>
            </w:r>
          </w:hyperlink>
        </w:p>
        <w:p w:rsidR="00923CC3" w:rsidRDefault="00923CC3">
          <w:pPr>
            <w:pStyle w:val="TOC1"/>
            <w:tabs>
              <w:tab w:val="right" w:leader="dot" w:pos="9350"/>
            </w:tabs>
            <w:rPr>
              <w:rFonts w:eastAsiaTheme="minorEastAsia"/>
              <w:noProof/>
            </w:rPr>
          </w:pPr>
          <w:hyperlink w:anchor="_Toc446330057" w:history="1">
            <w:r w:rsidRPr="002E7B1E">
              <w:rPr>
                <w:rStyle w:val="Hyperlink"/>
                <w:noProof/>
              </w:rPr>
              <w:t>Reference</w:t>
            </w:r>
            <w:r>
              <w:rPr>
                <w:noProof/>
                <w:webHidden/>
              </w:rPr>
              <w:tab/>
            </w:r>
            <w:r>
              <w:rPr>
                <w:noProof/>
                <w:webHidden/>
              </w:rPr>
              <w:fldChar w:fldCharType="begin"/>
            </w:r>
            <w:r>
              <w:rPr>
                <w:noProof/>
                <w:webHidden/>
              </w:rPr>
              <w:instrText xml:space="preserve"> PAGEREF _Toc446330057 \h </w:instrText>
            </w:r>
            <w:r>
              <w:rPr>
                <w:noProof/>
                <w:webHidden/>
              </w:rPr>
            </w:r>
            <w:r>
              <w:rPr>
                <w:noProof/>
                <w:webHidden/>
              </w:rPr>
              <w:fldChar w:fldCharType="separate"/>
            </w:r>
            <w:r>
              <w:rPr>
                <w:noProof/>
                <w:webHidden/>
              </w:rPr>
              <w:t>7</w:t>
            </w:r>
            <w:r>
              <w:rPr>
                <w:noProof/>
                <w:webHidden/>
              </w:rPr>
              <w:fldChar w:fldCharType="end"/>
            </w:r>
          </w:hyperlink>
        </w:p>
        <w:p w:rsidR="00267122" w:rsidRPr="00631C9A" w:rsidRDefault="0051725C" w:rsidP="004D1BE4">
          <w:pPr>
            <w:spacing w:after="0"/>
          </w:pPr>
          <w:r w:rsidRPr="00631C9A">
            <w:rPr>
              <w:b/>
              <w:bCs/>
              <w:noProof/>
            </w:rPr>
            <w:fldChar w:fldCharType="end"/>
          </w:r>
        </w:p>
      </w:sdtContent>
    </w:sdt>
    <w:p w:rsidR="00267122" w:rsidRPr="00631C9A" w:rsidRDefault="00267122" w:rsidP="00267122"/>
    <w:p w:rsidR="00267122" w:rsidRPr="00631C9A" w:rsidRDefault="00267122" w:rsidP="00267122">
      <w:pPr>
        <w:sectPr w:rsidR="00267122" w:rsidRPr="00631C9A" w:rsidSect="00397BDA">
          <w:headerReference w:type="default" r:id="rId10"/>
          <w:footerReference w:type="default" r:id="rId11"/>
          <w:pgSz w:w="12240" w:h="15840"/>
          <w:pgMar w:top="1440" w:right="1440" w:bottom="1440" w:left="1440" w:header="720" w:footer="720" w:gutter="0"/>
          <w:pgNumType w:start="1"/>
          <w:cols w:space="720"/>
          <w:docGrid w:linePitch="360"/>
        </w:sectPr>
      </w:pPr>
    </w:p>
    <w:p w:rsidR="00267122" w:rsidRDefault="00267122" w:rsidP="00267122">
      <w:pPr>
        <w:pStyle w:val="Heading1"/>
      </w:pPr>
      <w:bookmarkStart w:id="1" w:name="_Toc446330045"/>
      <w:r w:rsidRPr="00631C9A">
        <w:lastRenderedPageBreak/>
        <w:t>Section 1. Introduction</w:t>
      </w:r>
      <w:bookmarkEnd w:id="1"/>
    </w:p>
    <w:p w:rsidR="00D85408" w:rsidRDefault="00D85408" w:rsidP="00D85408">
      <w:r w:rsidRPr="00D85408">
        <w:t xml:space="preserve">Potentially Preventable Admissions (PPAs) are facility admissions that may have resulted from the lack of adequate access to care or ambulatory care coordination. </w:t>
      </w:r>
      <w:r>
        <w:t xml:space="preserve">Circumstances associated with </w:t>
      </w:r>
      <w:r w:rsidRPr="00D85408">
        <w:t>PPAs are ambulatory sensitive conditions (e.g., asthma) for which adequate patient monitoring and follow-up (e.g., medication management) can often avoid the need for admission. The occurrence of high rates of PPAs may represent a failure of the ambulatory care provided to the patient</w:t>
      </w:r>
      <w:r w:rsidR="00476E8B">
        <w:t xml:space="preserve">. In addition to a significant quality problem, excess PPAs result in unnecessary </w:t>
      </w:r>
      <w:r w:rsidR="00476E8B" w:rsidRPr="00476E8B">
        <w:t xml:space="preserve">increases </w:t>
      </w:r>
      <w:r w:rsidR="00476E8B">
        <w:t xml:space="preserve">in </w:t>
      </w:r>
      <w:r w:rsidR="00476E8B" w:rsidRPr="00476E8B">
        <w:t xml:space="preserve">cost. From the perspective of care providers, one way to improve efficiency and quality and to generate greater value is to better identify and avoid unnecessary </w:t>
      </w:r>
      <w:r w:rsidR="00191AD2">
        <w:t>hospitalizations</w:t>
      </w:r>
      <w:r w:rsidR="00476E8B" w:rsidRPr="00476E8B">
        <w:t>.</w:t>
      </w:r>
    </w:p>
    <w:p w:rsidR="00C34ECD" w:rsidRDefault="00C34ECD" w:rsidP="00C34ECD">
      <w:pPr>
        <w:pStyle w:val="Heading1"/>
      </w:pPr>
      <w:bookmarkStart w:id="2" w:name="_Toc446330046"/>
      <w:r>
        <w:t xml:space="preserve">Section 2. Comparison of PPA to </w:t>
      </w:r>
      <w:r w:rsidRPr="007740AA">
        <w:t>Prevention Quality Indicators</w:t>
      </w:r>
      <w:bookmarkEnd w:id="2"/>
    </w:p>
    <w:p w:rsidR="00476E8B" w:rsidRDefault="00476E8B" w:rsidP="00476E8B">
      <w:r>
        <w:t>T</w:t>
      </w:r>
      <w:r w:rsidRPr="007740AA">
        <w:t xml:space="preserve">he U.S. DHHS Agency for Healthcare Research and Quality (AHRQ) </w:t>
      </w:r>
      <w:r>
        <w:t xml:space="preserve">defined an initial list </w:t>
      </w:r>
      <w:r w:rsidRPr="007740AA">
        <w:t>of ambulatory care sensitive conditions in the 1980s (Prevention Quality Indicators or PQIs).</w:t>
      </w:r>
      <w:r>
        <w:t xml:space="preserve"> PPAs were developed by 3M™ to be fairer and more comprehensive in several ways. First, certain admission types that are counted in PQI rates are not included in PPAs because they are </w:t>
      </w:r>
      <w:r w:rsidRPr="007740AA">
        <w:t>not preventable unless appropriate care is given for sev</w:t>
      </w:r>
      <w:r>
        <w:t xml:space="preserve">eral years before the admission (e.g., amputation for vascular complications of diabetes). Second, admissions are included in PQI rates irrespective of the severity of the patient condition while PPAs are adjusted for the complexity of the patient population. Third, the comprehensiveness of PPAs is increased by using diagnoses grouped using APR-DRGs rather than relying on a list of specific diagnoses codes. Additionally, PPAs apply </w:t>
      </w:r>
      <w:r w:rsidRPr="006C6409">
        <w:t>advances in our understanding of the role coordinated care can play in avoiding admissions together with the understanding that the preventability of these admissions should be adjusted for the overall burden of illness of the individual patient</w:t>
      </w:r>
      <w:r>
        <w:t>.</w:t>
      </w:r>
    </w:p>
    <w:p w:rsidR="00C34ECD" w:rsidRDefault="00C34ECD" w:rsidP="00C34ECD">
      <w:pPr>
        <w:spacing w:after="120"/>
      </w:pPr>
      <w:r>
        <w:t>PQI admission types that are not utilized in the PPA algorithm are:</w:t>
      </w:r>
    </w:p>
    <w:p w:rsidR="00C34ECD" w:rsidRPr="00D059A4" w:rsidRDefault="00C34ECD" w:rsidP="00C34ECD">
      <w:pPr>
        <w:pStyle w:val="ListParagraph"/>
        <w:numPr>
          <w:ilvl w:val="0"/>
          <w:numId w:val="15"/>
        </w:numPr>
        <w:rPr>
          <w:sz w:val="20"/>
        </w:rPr>
      </w:pPr>
      <w:r w:rsidRPr="00D059A4">
        <w:rPr>
          <w:szCs w:val="23"/>
        </w:rPr>
        <w:t>Long term diabetes complications</w:t>
      </w:r>
    </w:p>
    <w:p w:rsidR="00C34ECD" w:rsidRPr="00D059A4" w:rsidRDefault="00C34ECD" w:rsidP="00C34ECD">
      <w:pPr>
        <w:pStyle w:val="ListParagraph"/>
        <w:numPr>
          <w:ilvl w:val="0"/>
          <w:numId w:val="15"/>
        </w:numPr>
        <w:rPr>
          <w:szCs w:val="23"/>
        </w:rPr>
      </w:pPr>
      <w:r w:rsidRPr="00D059A4">
        <w:rPr>
          <w:szCs w:val="23"/>
        </w:rPr>
        <w:t>Lower extremity amputation among patients with diabetes</w:t>
      </w:r>
    </w:p>
    <w:p w:rsidR="00C34ECD" w:rsidRPr="00D059A4" w:rsidRDefault="00C34ECD" w:rsidP="00C34ECD">
      <w:pPr>
        <w:pStyle w:val="ListParagraph"/>
        <w:numPr>
          <w:ilvl w:val="0"/>
          <w:numId w:val="15"/>
        </w:numPr>
        <w:rPr>
          <w:sz w:val="20"/>
        </w:rPr>
      </w:pPr>
      <w:r w:rsidRPr="00D059A4">
        <w:rPr>
          <w:szCs w:val="23"/>
        </w:rPr>
        <w:t>Perforated appendix</w:t>
      </w:r>
    </w:p>
    <w:p w:rsidR="00C34ECD" w:rsidRPr="00D059A4" w:rsidRDefault="00C34ECD" w:rsidP="00C34ECD">
      <w:pPr>
        <w:pStyle w:val="ListParagraph"/>
        <w:numPr>
          <w:ilvl w:val="0"/>
          <w:numId w:val="15"/>
        </w:numPr>
        <w:rPr>
          <w:sz w:val="20"/>
        </w:rPr>
      </w:pPr>
      <w:r w:rsidRPr="00D059A4">
        <w:rPr>
          <w:szCs w:val="23"/>
        </w:rPr>
        <w:t>Low birth weight infants</w:t>
      </w:r>
    </w:p>
    <w:p w:rsidR="00C34ECD" w:rsidRDefault="00C34ECD" w:rsidP="00C34ECD">
      <w:pPr>
        <w:spacing w:after="120"/>
      </w:pPr>
      <w:r>
        <w:t xml:space="preserve">Admissions </w:t>
      </w:r>
      <w:r w:rsidR="00BB4A1F">
        <w:t xml:space="preserve">types </w:t>
      </w:r>
      <w:r>
        <w:t>that are part of the PPA algorithm that are not addressed by the PQI</w:t>
      </w:r>
      <w:r w:rsidR="00BB4A1F">
        <w:t>, but have been shown to be avoidable</w:t>
      </w:r>
      <w:r>
        <w:t xml:space="preserve"> are:</w:t>
      </w:r>
    </w:p>
    <w:p w:rsidR="00C34ECD" w:rsidRDefault="00C34ECD" w:rsidP="00C34ECD">
      <w:pPr>
        <w:pStyle w:val="ListParagraph"/>
        <w:numPr>
          <w:ilvl w:val="0"/>
          <w:numId w:val="16"/>
        </w:numPr>
      </w:pPr>
      <w:r>
        <w:t>Seizures</w:t>
      </w:r>
    </w:p>
    <w:p w:rsidR="00C34ECD" w:rsidRDefault="00C34ECD" w:rsidP="00C34ECD">
      <w:pPr>
        <w:pStyle w:val="ListParagraph"/>
        <w:numPr>
          <w:ilvl w:val="0"/>
          <w:numId w:val="16"/>
        </w:numPr>
      </w:pPr>
      <w:r>
        <w:t>Migraines</w:t>
      </w:r>
    </w:p>
    <w:p w:rsidR="00C34ECD" w:rsidRDefault="00C34ECD" w:rsidP="00C34ECD">
      <w:pPr>
        <w:pStyle w:val="ListParagraph"/>
        <w:numPr>
          <w:ilvl w:val="0"/>
          <w:numId w:val="16"/>
        </w:numPr>
      </w:pPr>
      <w:r>
        <w:t>Cardiac catheterization</w:t>
      </w:r>
    </w:p>
    <w:p w:rsidR="00C34ECD" w:rsidRDefault="00C34ECD" w:rsidP="00C34ECD">
      <w:pPr>
        <w:pStyle w:val="ListParagraph"/>
        <w:numPr>
          <w:ilvl w:val="0"/>
          <w:numId w:val="16"/>
        </w:numPr>
      </w:pPr>
      <w:r>
        <w:t>Chest pain</w:t>
      </w:r>
    </w:p>
    <w:p w:rsidR="00C34ECD" w:rsidRDefault="00C34ECD" w:rsidP="00C34ECD">
      <w:pPr>
        <w:pStyle w:val="ListParagraph"/>
        <w:numPr>
          <w:ilvl w:val="0"/>
          <w:numId w:val="16"/>
        </w:numPr>
      </w:pPr>
      <w:r>
        <w:t>Abdominal pain</w:t>
      </w:r>
    </w:p>
    <w:p w:rsidR="00C34ECD" w:rsidRDefault="00C34ECD" w:rsidP="00C34ECD">
      <w:pPr>
        <w:pStyle w:val="ListParagraph"/>
        <w:numPr>
          <w:ilvl w:val="0"/>
          <w:numId w:val="16"/>
        </w:numPr>
      </w:pPr>
      <w:r>
        <w:t>Back procedures for discogenic p</w:t>
      </w:r>
      <w:r w:rsidRPr="00C34ECD">
        <w:t>ain</w:t>
      </w:r>
    </w:p>
    <w:p w:rsidR="00C34ECD" w:rsidRDefault="00C34ECD" w:rsidP="00C34ECD">
      <w:pPr>
        <w:pStyle w:val="ListParagraph"/>
        <w:numPr>
          <w:ilvl w:val="0"/>
          <w:numId w:val="16"/>
        </w:numPr>
      </w:pPr>
      <w:r>
        <w:t>Sickle cell anemia crisis</w:t>
      </w:r>
    </w:p>
    <w:p w:rsidR="00BB4A1F" w:rsidRDefault="00BB4A1F" w:rsidP="00BB4A1F">
      <w:pPr>
        <w:pStyle w:val="Heading1"/>
      </w:pPr>
      <w:bookmarkStart w:id="3" w:name="_Toc446330047"/>
      <w:r>
        <w:lastRenderedPageBreak/>
        <w:t>Section 3. PPA Logic</w:t>
      </w:r>
      <w:r w:rsidR="000318C0">
        <w:t xml:space="preserve"> and Calculation of Rates and Expenditures for Facilities</w:t>
      </w:r>
      <w:bookmarkEnd w:id="3"/>
    </w:p>
    <w:p w:rsidR="00B10B85" w:rsidRDefault="00BB4A1F" w:rsidP="00B10B85">
      <w:r>
        <w:t xml:space="preserve">The </w:t>
      </w:r>
      <w:r w:rsidR="00B10B85">
        <w:t>identification</w:t>
      </w:r>
      <w:r>
        <w:t xml:space="preserve"> of PPAs</w:t>
      </w:r>
      <w:r w:rsidR="00B10B85">
        <w:t xml:space="preserve"> begins with assignment of APR-DRG to inpatient admissions</w:t>
      </w:r>
      <w:r w:rsidR="00944E47">
        <w:t>.</w:t>
      </w:r>
      <w:r w:rsidR="00B10B85">
        <w:t xml:space="preserve"> Based on the reason for admission</w:t>
      </w:r>
      <w:r w:rsidR="00403C44">
        <w:t xml:space="preserve"> and </w:t>
      </w:r>
      <w:r w:rsidR="00F27087">
        <w:t>procedures conducted</w:t>
      </w:r>
      <w:r w:rsidR="00B10B85">
        <w:t>, an initial preventable status is set.</w:t>
      </w:r>
      <w:r w:rsidR="00B10B85" w:rsidRPr="00B10B85">
        <w:t xml:space="preserve"> </w:t>
      </w:r>
      <w:r w:rsidR="00B10B85">
        <w:t xml:space="preserve">Modification can be made for admissions from nursing or residential care. Admissions not flagged in the initial setting can be flagged as preventable for these admissions when treatment could have been provided in the previous care setting that would avoid </w:t>
      </w:r>
      <w:r w:rsidR="0072630A">
        <w:t>a hospital admission</w:t>
      </w:r>
      <w:r w:rsidR="00B10B85">
        <w:t>.</w:t>
      </w:r>
    </w:p>
    <w:p w:rsidR="00B1465E" w:rsidRDefault="0072630A" w:rsidP="00476E8B">
      <w:r>
        <w:t xml:space="preserve">Health status (CRG), determined from encounter data for the year prior to the measurement year, is used to </w:t>
      </w:r>
      <w:r w:rsidR="00D059A4">
        <w:t>adjust the case-mix of patients.</w:t>
      </w:r>
      <w:r>
        <w:t xml:space="preserve"> Patients with less than 3 months enrollment in the prior year are excluded because </w:t>
      </w:r>
      <w:r w:rsidR="005C2EF3">
        <w:t xml:space="preserve">reliable </w:t>
      </w:r>
      <w:r>
        <w:t>CRG assignment depends on adequate health care history.</w:t>
      </w:r>
      <w:r w:rsidR="00B1465E">
        <w:t xml:space="preserve"> Admissions for these patients are not considered at risk for PPAs. </w:t>
      </w:r>
    </w:p>
    <w:p w:rsidR="0072630A" w:rsidRDefault="005C2EF3" w:rsidP="00476E8B">
      <w:r>
        <w:t>R</w:t>
      </w:r>
      <w:r w:rsidR="008D3FB5" w:rsidRPr="008D3FB5">
        <w:t>elative weight</w:t>
      </w:r>
      <w:r>
        <w:t>s</w:t>
      </w:r>
      <w:r w:rsidR="008D3FB5" w:rsidRPr="008D3FB5">
        <w:t xml:space="preserve"> </w:t>
      </w:r>
      <w:r>
        <w:t>are assigned to</w:t>
      </w:r>
      <w:r w:rsidR="008D3FB5" w:rsidRPr="008D3FB5">
        <w:t xml:space="preserve"> each </w:t>
      </w:r>
      <w:r w:rsidR="00B1236E">
        <w:t xml:space="preserve">admission at risk for </w:t>
      </w:r>
      <w:r w:rsidR="008D3FB5" w:rsidRPr="008D3FB5">
        <w:t xml:space="preserve">PPA </w:t>
      </w:r>
      <w:r w:rsidR="00B1236E">
        <w:t xml:space="preserve">assignment </w:t>
      </w:r>
      <w:r>
        <w:t>by</w:t>
      </w:r>
      <w:r w:rsidR="008D3FB5" w:rsidRPr="008D3FB5">
        <w:t xml:space="preserve"> </w:t>
      </w:r>
      <w:r>
        <w:t xml:space="preserve">APR-DRG. These weights </w:t>
      </w:r>
      <w:r w:rsidR="00F27087">
        <w:t>(Texas spec</w:t>
      </w:r>
      <w:r w:rsidR="00D059A4">
        <w:t>ific weights for Grouper 32 APR-DRG, effective 09/01/2015</w:t>
      </w:r>
      <w:r w:rsidR="00F27087">
        <w:t>)</w:t>
      </w:r>
      <w:r w:rsidR="006944EE">
        <w:t xml:space="preserve"> </w:t>
      </w:r>
      <w:r>
        <w:t xml:space="preserve">were determined based on </w:t>
      </w:r>
      <w:r w:rsidR="008D3FB5" w:rsidRPr="008D3FB5">
        <w:t>resource utilization</w:t>
      </w:r>
      <w:r>
        <w:t xml:space="preserve"> from Texas Medicaid data</w:t>
      </w:r>
      <w:r w:rsidR="008D3FB5" w:rsidRPr="008D3FB5">
        <w:t xml:space="preserve">. </w:t>
      </w:r>
      <w:r>
        <w:t>Using relative weights for PPA rate calculation</w:t>
      </w:r>
      <w:r w:rsidR="008D3FB5" w:rsidRPr="008D3FB5">
        <w:t xml:space="preserve"> is important because not all PPA have the same resource costs. High resource PPA should weigh more in the PPA rate than lower resource PPA so that a calculated excess in the PPA rate reflects waste more accurately.</w:t>
      </w:r>
      <w:r w:rsidR="008D3FB5">
        <w:t xml:space="preserve"> </w:t>
      </w:r>
    </w:p>
    <w:p w:rsidR="0033418A" w:rsidRDefault="00B1236E" w:rsidP="00476E8B">
      <w:r>
        <w:t>PPA weighted rates are</w:t>
      </w:r>
      <w:r w:rsidRPr="00B1236E">
        <w:t xml:space="preserve"> calculated as </w:t>
      </w:r>
      <w:r>
        <w:t>the total resources utilization</w:t>
      </w:r>
      <w:r w:rsidRPr="00B1236E">
        <w:t xml:space="preserve"> for PPA </w:t>
      </w:r>
      <w:r w:rsidR="009B2D17">
        <w:t xml:space="preserve">(sum of the relative weights for each PPA admission) </w:t>
      </w:r>
      <w:r w:rsidRPr="00B1236E">
        <w:t xml:space="preserve">divided by </w:t>
      </w:r>
      <w:r>
        <w:t>the total resources utilization</w:t>
      </w:r>
      <w:r w:rsidR="005C2EF3">
        <w:t xml:space="preserve"> for </w:t>
      </w:r>
      <w:r w:rsidRPr="00B1236E">
        <w:t>at-risk admissions</w:t>
      </w:r>
      <w:r w:rsidR="00FA6883">
        <w:t xml:space="preserve"> (sum of the relative weights for each at-risk admission)</w:t>
      </w:r>
      <w:r>
        <w:t>.</w:t>
      </w:r>
      <w:r w:rsidR="005C2EF3">
        <w:t xml:space="preserve"> </w:t>
      </w:r>
    </w:p>
    <w:p w:rsidR="000318C0" w:rsidRDefault="00FA6883" w:rsidP="00476E8B">
      <w:r>
        <w:t>PPA is risk adjusted by CRG</w:t>
      </w:r>
      <w:r w:rsidR="00D059A4">
        <w:t>, using the CRG assigned to the member based on the data (both MCO encounters and FFS claims) from the year prior to the measurement year</w:t>
      </w:r>
      <w:r>
        <w:t xml:space="preserve">. </w:t>
      </w:r>
      <w:r w:rsidR="005C2EF3">
        <w:t xml:space="preserve">A state norm </w:t>
      </w:r>
      <w:r>
        <w:t xml:space="preserve">weighted rate </w:t>
      </w:r>
      <w:r w:rsidR="005C2EF3">
        <w:t xml:space="preserve">for each CRG category is calculated using the </w:t>
      </w:r>
      <w:r>
        <w:t>at-</w:t>
      </w:r>
      <w:r w:rsidR="005C2EF3">
        <w:t>risk admissions statewide</w:t>
      </w:r>
      <w:r w:rsidR="00B1236E">
        <w:t xml:space="preserve">. </w:t>
      </w:r>
    </w:p>
    <w:p w:rsidR="0033418A" w:rsidRDefault="005C2EF3" w:rsidP="00476E8B">
      <w:r>
        <w:t xml:space="preserve">The expected </w:t>
      </w:r>
      <w:r w:rsidR="000318C0">
        <w:t xml:space="preserve">weighted </w:t>
      </w:r>
      <w:r>
        <w:t xml:space="preserve">PPA </w:t>
      </w:r>
      <w:r w:rsidR="00CF0AFB">
        <w:t>(total resources utilization</w:t>
      </w:r>
      <w:r w:rsidR="00CF0AFB" w:rsidRPr="00B1236E">
        <w:t xml:space="preserve"> for PPA</w:t>
      </w:r>
      <w:r w:rsidR="00CF0AFB">
        <w:t>) within</w:t>
      </w:r>
      <w:r w:rsidR="00FA6883">
        <w:t xml:space="preserve"> </w:t>
      </w:r>
      <w:r w:rsidR="00CF0AFB">
        <w:t>each</w:t>
      </w:r>
      <w:r w:rsidR="00FA6883">
        <w:t xml:space="preserve"> CRG category </w:t>
      </w:r>
      <w:r w:rsidR="00CF0AFB">
        <w:t>for a</w:t>
      </w:r>
      <w:r w:rsidR="00FA6883">
        <w:t xml:space="preserve"> facility </w:t>
      </w:r>
      <w:r w:rsidR="001D7779">
        <w:t xml:space="preserve">is calculated as </w:t>
      </w:r>
      <w:r>
        <w:t xml:space="preserve">the state norm </w:t>
      </w:r>
      <w:r w:rsidR="000318C0">
        <w:t xml:space="preserve">weighted </w:t>
      </w:r>
      <w:r>
        <w:t xml:space="preserve">rate for the CRG category times the </w:t>
      </w:r>
      <w:r w:rsidR="00CF0AFB">
        <w:t xml:space="preserve">sum of the relative weights for </w:t>
      </w:r>
      <w:r w:rsidR="001D7779">
        <w:t xml:space="preserve">the </w:t>
      </w:r>
      <w:r w:rsidR="00CF0AFB">
        <w:t xml:space="preserve">at-risk admission in </w:t>
      </w:r>
      <w:r w:rsidR="001D7779">
        <w:t xml:space="preserve">the </w:t>
      </w:r>
      <w:r w:rsidR="00CF0AFB">
        <w:t>CRG</w:t>
      </w:r>
      <w:r>
        <w:t xml:space="preserve"> </w:t>
      </w:r>
      <w:r w:rsidR="00CF0AFB">
        <w:t>for</w:t>
      </w:r>
      <w:r w:rsidR="00FA6883">
        <w:t xml:space="preserve"> the facility</w:t>
      </w:r>
      <w:r w:rsidR="0033418A">
        <w:t xml:space="preserve">. </w:t>
      </w:r>
      <w:r w:rsidR="00E432CF">
        <w:t xml:space="preserve">The total expected weighted PPA </w:t>
      </w:r>
      <w:r w:rsidR="001D7779">
        <w:t xml:space="preserve">for a facility </w:t>
      </w:r>
      <w:r w:rsidR="00E432CF">
        <w:t>is the sum of expected weighted PPA across all CRG levels.</w:t>
      </w:r>
    </w:p>
    <w:p w:rsidR="00B1236E" w:rsidRDefault="0033418A" w:rsidP="00476E8B">
      <w:r>
        <w:t>The actual to expected ratio for the facility</w:t>
      </w:r>
      <w:r w:rsidR="00E432CF">
        <w:t xml:space="preserve"> is the ratio of actual weighted PPA </w:t>
      </w:r>
      <w:r w:rsidR="001D7779">
        <w:t xml:space="preserve">(sum of the relative weights for each PPA admission) </w:t>
      </w:r>
      <w:r w:rsidR="00E432CF">
        <w:t>over expected weighted PPA</w:t>
      </w:r>
      <w:r>
        <w:t>.</w:t>
      </w:r>
    </w:p>
    <w:p w:rsidR="000318C0" w:rsidRDefault="000318C0" w:rsidP="00476E8B">
      <w:r>
        <w:t xml:space="preserve">Expenditures calculations are determined using paid amounts per PPA instead of </w:t>
      </w:r>
      <w:r w:rsidR="001D7779">
        <w:t>relative weights</w:t>
      </w:r>
      <w:r>
        <w:t>, but follow the same logic for determination of actual and expected amounts, and adjusting for CRG.</w:t>
      </w:r>
    </w:p>
    <w:p w:rsidR="00476E8B" w:rsidRDefault="00B10B85" w:rsidP="00B10B85">
      <w:pPr>
        <w:pStyle w:val="Heading1"/>
      </w:pPr>
      <w:bookmarkStart w:id="4" w:name="_Toc446330048"/>
      <w:r>
        <w:t xml:space="preserve">Section 4. </w:t>
      </w:r>
      <w:r w:rsidR="00E169F0">
        <w:t xml:space="preserve">PPA </w:t>
      </w:r>
      <w:r w:rsidR="000318C0">
        <w:t>Processing for Facility Reports</w:t>
      </w:r>
      <w:bookmarkEnd w:id="4"/>
    </w:p>
    <w:p w:rsidR="000318C0" w:rsidRDefault="00B10B85" w:rsidP="00B10B85">
      <w:r>
        <w:t>Using the 3M™ Population Focused Preventable software and methodology</w:t>
      </w:r>
      <w:r w:rsidR="000318C0">
        <w:t xml:space="preserve"> (</w:t>
      </w:r>
      <w:r w:rsidR="000318C0" w:rsidRPr="00706058">
        <w:t xml:space="preserve">Core Grouping </w:t>
      </w:r>
      <w:r w:rsidR="00CA7CC9">
        <w:t>S</w:t>
      </w:r>
      <w:r w:rsidR="000318C0" w:rsidRPr="00706058">
        <w:t>oftware</w:t>
      </w:r>
      <w:r w:rsidR="00CA7CC9">
        <w:t xml:space="preserve"> Version </w:t>
      </w:r>
      <w:r w:rsidR="006944EE">
        <w:t>201</w:t>
      </w:r>
      <w:r w:rsidR="00517B3B">
        <w:t>6.0.2</w:t>
      </w:r>
      <w:r w:rsidR="000318C0">
        <w:t>; Population-Focused Preventable Grouper</w:t>
      </w:r>
      <w:r w:rsidR="000318C0" w:rsidRPr="00706058">
        <w:t xml:space="preserve"> Version </w:t>
      </w:r>
      <w:r w:rsidR="006944EE">
        <w:t>1.3</w:t>
      </w:r>
      <w:r w:rsidR="00517B3B">
        <w:t>.1</w:t>
      </w:r>
      <w:r w:rsidR="000318C0" w:rsidRPr="00706058">
        <w:t>)</w:t>
      </w:r>
      <w:r>
        <w:t xml:space="preserve">, encounter and eligibility data for Texas Medicaid </w:t>
      </w:r>
      <w:r w:rsidR="006944EE">
        <w:t xml:space="preserve">and CHIP </w:t>
      </w:r>
      <w:r>
        <w:t>for the 201</w:t>
      </w:r>
      <w:r w:rsidR="00517B3B">
        <w:t>4</w:t>
      </w:r>
      <w:r>
        <w:t xml:space="preserve"> service year was used to calculate facility rates for PPAs. </w:t>
      </w:r>
    </w:p>
    <w:p w:rsidR="00B10B85" w:rsidRDefault="00B10B85" w:rsidP="00B10B85">
      <w:r>
        <w:lastRenderedPageBreak/>
        <w:t xml:space="preserve">Members with dual eligibility during the measurement </w:t>
      </w:r>
      <w:r w:rsidR="000318C0">
        <w:t>year are excluded.</w:t>
      </w:r>
      <w:r w:rsidR="005C7EFC">
        <w:t xml:space="preserve"> Valid DOB, gender, and race information is required in extracting member eligibility data.</w:t>
      </w:r>
    </w:p>
    <w:p w:rsidR="001D7779" w:rsidRDefault="00B10B85" w:rsidP="00B10B85">
      <w:r>
        <w:t>Inpatient admissions were identified by bill type = ‘11x’, ’12x’, ‘41x’.</w:t>
      </w:r>
      <w:r w:rsidR="005C7EFC">
        <w:t xml:space="preserve"> Void and denied encounters as well as informational encounters/claims are excluded.</w:t>
      </w:r>
      <w:r w:rsidR="001D7779">
        <w:t xml:space="preserve"> </w:t>
      </w:r>
      <w:r w:rsidR="005C7EFC">
        <w:t>Encounters are rolled up to a single cost record by member, provider ID, and admission date.</w:t>
      </w:r>
    </w:p>
    <w:p w:rsidR="00397BDA" w:rsidRDefault="00397BDA" w:rsidP="00B10B85">
      <w:r>
        <w:t>Low volume providers can affect the reliability and interpretability of provider based summary statistics such as statewide percentile rankings. Providers meeting any of the following criteria were considered low volume and are excluded from percentile calculations:</w:t>
      </w:r>
    </w:p>
    <w:p w:rsidR="00397BDA" w:rsidRDefault="00397BDA" w:rsidP="00397BDA">
      <w:pPr>
        <w:pStyle w:val="ListParagraph"/>
        <w:numPr>
          <w:ilvl w:val="0"/>
          <w:numId w:val="22"/>
        </w:numPr>
      </w:pPr>
      <w:r>
        <w:t>Less than 40 total admissions at risk for PPA</w:t>
      </w:r>
      <w:r w:rsidR="00662F10">
        <w:t xml:space="preserve"> or</w:t>
      </w:r>
    </w:p>
    <w:p w:rsidR="00397BDA" w:rsidRDefault="00397BDA" w:rsidP="00397BDA">
      <w:pPr>
        <w:pStyle w:val="ListParagraph"/>
        <w:numPr>
          <w:ilvl w:val="0"/>
          <w:numId w:val="22"/>
        </w:numPr>
      </w:pPr>
      <w:r>
        <w:t>Less than 5 actual total PPA</w:t>
      </w:r>
      <w:r w:rsidR="00662F10">
        <w:t xml:space="preserve"> or</w:t>
      </w:r>
    </w:p>
    <w:p w:rsidR="00397BDA" w:rsidRDefault="00397BDA" w:rsidP="00397BDA">
      <w:pPr>
        <w:pStyle w:val="ListParagraph"/>
        <w:numPr>
          <w:ilvl w:val="0"/>
          <w:numId w:val="22"/>
        </w:numPr>
      </w:pPr>
      <w:r>
        <w:t>Less than 5 expected total PPA</w:t>
      </w:r>
    </w:p>
    <w:p w:rsidR="00B10B85" w:rsidRDefault="00397BDA" w:rsidP="00B10B85">
      <w:r>
        <w:t>The state norms represent the experience of all eligible members with at risk admissions. The norms are calculated using all eligible admissions at all providers.</w:t>
      </w:r>
      <w:r w:rsidR="00E169F0">
        <w:t xml:space="preserve"> </w:t>
      </w:r>
    </w:p>
    <w:p w:rsidR="00B1465E" w:rsidRDefault="00B1465E" w:rsidP="00B1465E">
      <w:pPr>
        <w:pStyle w:val="Heading1"/>
      </w:pPr>
      <w:bookmarkStart w:id="5" w:name="_Toc446330049"/>
      <w:r>
        <w:t>Section 5. Guide to the Facility Report</w:t>
      </w:r>
      <w:bookmarkEnd w:id="5"/>
    </w:p>
    <w:p w:rsidR="00B1465E" w:rsidRDefault="008851A9" w:rsidP="008851A9">
      <w:pPr>
        <w:pStyle w:val="Heading4"/>
      </w:pPr>
      <w:r>
        <w:t>Hospital</w:t>
      </w:r>
    </w:p>
    <w:p w:rsidR="008851A9" w:rsidRDefault="008851A9" w:rsidP="008851A9">
      <w:r>
        <w:t>The hospital name associated with the NPI in the HHSC provider table.</w:t>
      </w:r>
    </w:p>
    <w:p w:rsidR="008851A9" w:rsidRDefault="008851A9" w:rsidP="008851A9">
      <w:pPr>
        <w:pStyle w:val="Heading4"/>
      </w:pPr>
      <w:r>
        <w:t>NPI</w:t>
      </w:r>
    </w:p>
    <w:p w:rsidR="008851A9" w:rsidRDefault="008851A9" w:rsidP="008851A9">
      <w:r>
        <w:t>The NPI associated with the hospital, and identified as the billing provider in the encounters attributed to the provider and included in the provider results.</w:t>
      </w:r>
    </w:p>
    <w:p w:rsidR="006944EE" w:rsidRDefault="006944EE" w:rsidP="006944EE">
      <w:pPr>
        <w:pStyle w:val="Heading4"/>
      </w:pPr>
      <w:r>
        <w:t>TPI</w:t>
      </w:r>
    </w:p>
    <w:p w:rsidR="006944EE" w:rsidRDefault="006944EE" w:rsidP="006944EE">
      <w:r w:rsidRPr="003063E8">
        <w:t>The TPIs corresponding to the hospital NPI based on the crosswalk provided by Texas Medicaid Healthcare Partnership (TMHP)</w:t>
      </w:r>
      <w:r>
        <w:t xml:space="preserve"> and DSRIP team</w:t>
      </w:r>
      <w:r w:rsidRPr="003063E8">
        <w:t>.</w:t>
      </w:r>
    </w:p>
    <w:p w:rsidR="00C15855" w:rsidRDefault="00C15855" w:rsidP="008851A9">
      <w:pPr>
        <w:pStyle w:val="Heading4"/>
        <w:rPr>
          <w:rFonts w:asciiTheme="minorHAnsi" w:hAnsiTheme="minorHAnsi"/>
          <w:sz w:val="26"/>
          <w:u w:val="single"/>
        </w:rPr>
      </w:pPr>
      <w:r w:rsidRPr="00C15855">
        <w:rPr>
          <w:rFonts w:asciiTheme="minorHAnsi" w:hAnsiTheme="minorHAnsi"/>
          <w:sz w:val="26"/>
          <w:u w:val="single"/>
        </w:rPr>
        <w:t>PPA Rates and Expenditures (Provider Results)</w:t>
      </w:r>
    </w:p>
    <w:p w:rsidR="008851A9" w:rsidRDefault="008851A9" w:rsidP="008851A9">
      <w:pPr>
        <w:pStyle w:val="Heading4"/>
      </w:pPr>
      <w:r>
        <w:t>Total Admissions at Risk for PPA</w:t>
      </w:r>
    </w:p>
    <w:p w:rsidR="00287525" w:rsidRDefault="00944E47" w:rsidP="00287525">
      <w:r>
        <w:t xml:space="preserve">All admissions that are by </w:t>
      </w:r>
      <w:r w:rsidR="00287525">
        <w:t xml:space="preserve">the </w:t>
      </w:r>
      <w:r>
        <w:t>3M</w:t>
      </w:r>
      <w:r w:rsidR="00287525">
        <w:t>™</w:t>
      </w:r>
      <w:r>
        <w:t xml:space="preserve"> software</w:t>
      </w:r>
      <w:r w:rsidR="00682C47">
        <w:t xml:space="preserve"> </w:t>
      </w:r>
      <w:r w:rsidR="00287525">
        <w:t xml:space="preserve">as at-risk for PPA </w:t>
      </w:r>
      <w:r w:rsidR="00682C47">
        <w:t>(see section 3 for exclusion criteria).</w:t>
      </w:r>
      <w:r>
        <w:t xml:space="preserve"> </w:t>
      </w:r>
    </w:p>
    <w:p w:rsidR="00A31A6F" w:rsidRDefault="00A31A6F" w:rsidP="00A31A6F">
      <w:pPr>
        <w:pStyle w:val="Heading4"/>
      </w:pPr>
      <w:r>
        <w:t>Actual Number of PPA</w:t>
      </w:r>
    </w:p>
    <w:p w:rsidR="00A31A6F" w:rsidRDefault="00287525" w:rsidP="00A31A6F">
      <w:r>
        <w:t xml:space="preserve">Admissions </w:t>
      </w:r>
      <w:r w:rsidR="00A31A6F">
        <w:t>from ‘</w:t>
      </w:r>
      <w:r w:rsidR="00A31A6F" w:rsidRPr="00A31A6F">
        <w:t>Total Admissions at Risk for PPA</w:t>
      </w:r>
      <w:r w:rsidR="00A31A6F">
        <w:t xml:space="preserve">’ that were identified by the </w:t>
      </w:r>
      <w:r>
        <w:t>3M™</w:t>
      </w:r>
      <w:r w:rsidR="00A31A6F">
        <w:t>PPA algorithm as potentially preventable.</w:t>
      </w:r>
    </w:p>
    <w:p w:rsidR="00A31A6F" w:rsidRDefault="00A31A6F" w:rsidP="00A31A6F">
      <w:pPr>
        <w:pStyle w:val="Heading4"/>
      </w:pPr>
      <w:r>
        <w:t>PPA Rate</w:t>
      </w:r>
      <w:r w:rsidR="006C3D3F">
        <w:t xml:space="preserve"> (weighted)</w:t>
      </w:r>
    </w:p>
    <w:p w:rsidR="00A31A6F" w:rsidRDefault="00A31A6F" w:rsidP="008851A9">
      <w:r>
        <w:t>The sum of relative weights for encounters in ‘Actual Number of PPA’ divided by the sum of relative weights for encounters in ‘</w:t>
      </w:r>
      <w:r w:rsidRPr="00A31A6F">
        <w:t>Total Admissions at Risk for PPA</w:t>
      </w:r>
      <w:r>
        <w:t>’.</w:t>
      </w:r>
    </w:p>
    <w:p w:rsidR="00A31A6F" w:rsidRDefault="00A31A6F" w:rsidP="00A31A6F">
      <w:pPr>
        <w:pStyle w:val="Heading4"/>
      </w:pPr>
      <w:r>
        <w:lastRenderedPageBreak/>
        <w:t>Expected Number of PPAs</w:t>
      </w:r>
    </w:p>
    <w:p w:rsidR="00A31A6F" w:rsidRDefault="006C3D3F" w:rsidP="00A31A6F">
      <w:r>
        <w:t>Statewide un-weighted PPA rate times the Admissions at Risk for PPA. Calculated as a</w:t>
      </w:r>
      <w:r w:rsidR="00442F27">
        <w:t>n</w:t>
      </w:r>
      <w:r>
        <w:t xml:space="preserve"> </w:t>
      </w:r>
      <w:r w:rsidR="00442F27">
        <w:t>un-</w:t>
      </w:r>
      <w:r>
        <w:t>weighted sum across CRG categories.</w:t>
      </w:r>
    </w:p>
    <w:p w:rsidR="00A31A6F" w:rsidRDefault="00A31A6F" w:rsidP="00A31A6F">
      <w:pPr>
        <w:pStyle w:val="Heading4"/>
      </w:pPr>
      <w:r>
        <w:t>Expected PPA Rate</w:t>
      </w:r>
      <w:r w:rsidR="006C3D3F">
        <w:t xml:space="preserve"> (weighted)</w:t>
      </w:r>
    </w:p>
    <w:p w:rsidR="00A31A6F" w:rsidRDefault="00A31A6F" w:rsidP="00A31A6F">
      <w:r>
        <w:t xml:space="preserve">The </w:t>
      </w:r>
      <w:r w:rsidR="000D5CD0">
        <w:t>sum of the expected</w:t>
      </w:r>
      <w:r>
        <w:t xml:space="preserve"> weighted </w:t>
      </w:r>
      <w:r w:rsidR="000D5CD0">
        <w:t xml:space="preserve">PPAs divided by the sum of relative weights for the </w:t>
      </w:r>
      <w:r w:rsidR="00287525">
        <w:t>admissions</w:t>
      </w:r>
      <w:r w:rsidR="000D5CD0">
        <w:t xml:space="preserve"> in ‘Total Admissions at Risk for PPA’</w:t>
      </w:r>
      <w:r>
        <w:t>.</w:t>
      </w:r>
    </w:p>
    <w:p w:rsidR="006C3D3F" w:rsidRDefault="006C3D3F" w:rsidP="006C3D3F">
      <w:pPr>
        <w:pStyle w:val="Heading4"/>
      </w:pPr>
      <w:r>
        <w:t>Actual-to-Expected Ratio</w:t>
      </w:r>
      <w:r w:rsidR="006944EE">
        <w:t xml:space="preserve"> for PPA Rate (weighted)</w:t>
      </w:r>
    </w:p>
    <w:p w:rsidR="006C3D3F" w:rsidRDefault="006C3D3F" w:rsidP="006C3D3F">
      <w:r>
        <w:t>‘PPA Rate (weighted)’ divided by ‘Expected PPA Rate (weighted)’</w:t>
      </w:r>
    </w:p>
    <w:p w:rsidR="006C3D3F" w:rsidRDefault="006C3D3F" w:rsidP="006C3D3F">
      <w:pPr>
        <w:pStyle w:val="Heading4"/>
      </w:pPr>
      <w:r>
        <w:t>Members with PPAs</w:t>
      </w:r>
    </w:p>
    <w:p w:rsidR="006C3D3F" w:rsidRDefault="006C3D3F" w:rsidP="006C3D3F">
      <w:r>
        <w:t xml:space="preserve">Number of unique </w:t>
      </w:r>
      <w:r w:rsidR="006944EE">
        <w:t>clients</w:t>
      </w:r>
      <w:r>
        <w:t xml:space="preserve"> associated with PPAs</w:t>
      </w:r>
    </w:p>
    <w:p w:rsidR="006C3D3F" w:rsidRDefault="006C3D3F" w:rsidP="006C3D3F">
      <w:pPr>
        <w:pStyle w:val="Heading4"/>
      </w:pPr>
      <w:r>
        <w:t>Actual PPA Expenditures</w:t>
      </w:r>
    </w:p>
    <w:p w:rsidR="006C3D3F" w:rsidRDefault="006C3D3F" w:rsidP="006C3D3F">
      <w:r>
        <w:t xml:space="preserve">Sum of </w:t>
      </w:r>
      <w:r w:rsidR="00330910">
        <w:t>paid amo</w:t>
      </w:r>
      <w:r>
        <w:t>unts for PPAs</w:t>
      </w:r>
    </w:p>
    <w:p w:rsidR="006C3D3F" w:rsidRDefault="006C3D3F" w:rsidP="006C3D3F">
      <w:pPr>
        <w:pStyle w:val="Heading4"/>
      </w:pPr>
      <w:r>
        <w:t>Expected PPA Expenditures</w:t>
      </w:r>
    </w:p>
    <w:p w:rsidR="006C3D3F" w:rsidRDefault="006C3D3F" w:rsidP="006C3D3F">
      <w:r>
        <w:t>The State norm PPA expenditure</w:t>
      </w:r>
      <w:r w:rsidR="00330910">
        <w:t xml:space="preserve"> (sum of paid amounts divided by sum of relative weights for encounters, statewide) times the sum of relative weights for encounters in’</w:t>
      </w:r>
      <w:r w:rsidR="00330910" w:rsidRPr="00330910">
        <w:t xml:space="preserve"> </w:t>
      </w:r>
      <w:r w:rsidR="00330910">
        <w:t>Actual Number of PPA’</w:t>
      </w:r>
    </w:p>
    <w:p w:rsidR="00330910" w:rsidRDefault="00330910" w:rsidP="00330910">
      <w:pPr>
        <w:pStyle w:val="Heading4"/>
      </w:pPr>
      <w:r>
        <w:t>Actual-to-Expected Ratio for PPA Expenditures</w:t>
      </w:r>
    </w:p>
    <w:p w:rsidR="00330910" w:rsidRDefault="00330910" w:rsidP="00330910">
      <w:r>
        <w:t>‘Actual PPA Expenditures’ divided by ‘Expected PPA Expenditures’</w:t>
      </w:r>
    </w:p>
    <w:p w:rsidR="00330910" w:rsidRPr="00791551" w:rsidRDefault="00330910" w:rsidP="00330910">
      <w:pPr>
        <w:pStyle w:val="Heading3"/>
        <w:rPr>
          <w:rFonts w:asciiTheme="minorHAnsi" w:hAnsiTheme="minorHAnsi"/>
          <w:sz w:val="26"/>
          <w:u w:val="single"/>
        </w:rPr>
      </w:pPr>
      <w:bookmarkStart w:id="6" w:name="_Toc446330050"/>
      <w:r w:rsidRPr="00791551">
        <w:rPr>
          <w:rFonts w:asciiTheme="minorHAnsi" w:hAnsiTheme="minorHAnsi"/>
          <w:sz w:val="26"/>
          <w:u w:val="single"/>
        </w:rPr>
        <w:t xml:space="preserve">State-Wide </w:t>
      </w:r>
      <w:r w:rsidR="006944EE" w:rsidRPr="00791551">
        <w:rPr>
          <w:rFonts w:asciiTheme="minorHAnsi" w:hAnsiTheme="minorHAnsi"/>
          <w:sz w:val="26"/>
          <w:u w:val="single"/>
        </w:rPr>
        <w:t xml:space="preserve">Provider </w:t>
      </w:r>
      <w:r w:rsidRPr="00791551">
        <w:rPr>
          <w:rFonts w:asciiTheme="minorHAnsi" w:hAnsiTheme="minorHAnsi"/>
          <w:sz w:val="26"/>
          <w:u w:val="single"/>
        </w:rPr>
        <w:t>PPA</w:t>
      </w:r>
      <w:r w:rsidR="006944EE" w:rsidRPr="00791551">
        <w:rPr>
          <w:rFonts w:asciiTheme="minorHAnsi" w:hAnsiTheme="minorHAnsi"/>
          <w:sz w:val="26"/>
          <w:u w:val="single"/>
        </w:rPr>
        <w:t xml:space="preserve"> </w:t>
      </w:r>
      <w:r w:rsidRPr="00791551">
        <w:rPr>
          <w:rFonts w:asciiTheme="minorHAnsi" w:hAnsiTheme="minorHAnsi"/>
          <w:sz w:val="26"/>
          <w:u w:val="single"/>
        </w:rPr>
        <w:t>Rate</w:t>
      </w:r>
      <w:bookmarkEnd w:id="6"/>
    </w:p>
    <w:p w:rsidR="00330910" w:rsidRDefault="00330910" w:rsidP="00330910">
      <w:pPr>
        <w:pStyle w:val="Heading4"/>
      </w:pPr>
      <w:r>
        <w:t>State Norm</w:t>
      </w:r>
    </w:p>
    <w:p w:rsidR="00330910" w:rsidRDefault="00330910" w:rsidP="00330910">
      <w:r>
        <w:t>The sum of relative weights for PPA encounters divided by the sum of relative weights for at risk encounters statewide. Data from all providers is included in the State Norm</w:t>
      </w:r>
      <w:r w:rsidR="006944EE">
        <w:t>.</w:t>
      </w:r>
    </w:p>
    <w:p w:rsidR="00330910" w:rsidRDefault="00330910" w:rsidP="00330910">
      <w:pPr>
        <w:pStyle w:val="Heading4"/>
      </w:pPr>
      <w:r>
        <w:t>Percentiles</w:t>
      </w:r>
    </w:p>
    <w:p w:rsidR="00330910" w:rsidRDefault="00330910" w:rsidP="00330910">
      <w:r>
        <w:t>Calculated from ‘PPA Rate (weighted)’ for all providers excluding those identified as low volume providers.</w:t>
      </w:r>
    </w:p>
    <w:p w:rsidR="00330910" w:rsidRPr="00791551" w:rsidRDefault="00330910" w:rsidP="00330910">
      <w:pPr>
        <w:pStyle w:val="Heading3"/>
        <w:rPr>
          <w:rFonts w:asciiTheme="minorHAnsi" w:hAnsiTheme="minorHAnsi"/>
          <w:sz w:val="26"/>
          <w:u w:val="single"/>
        </w:rPr>
      </w:pPr>
      <w:bookmarkStart w:id="7" w:name="_Toc446330051"/>
      <w:r w:rsidRPr="00791551">
        <w:rPr>
          <w:rFonts w:asciiTheme="minorHAnsi" w:hAnsiTheme="minorHAnsi"/>
          <w:sz w:val="26"/>
          <w:u w:val="single"/>
        </w:rPr>
        <w:t>State-Wide Provider Distributions</w:t>
      </w:r>
      <w:bookmarkEnd w:id="7"/>
    </w:p>
    <w:p w:rsidR="004627DB" w:rsidRDefault="004627DB" w:rsidP="004627DB">
      <w:pPr>
        <w:pStyle w:val="Heading4"/>
      </w:pPr>
      <w:r>
        <w:t>Percentiles</w:t>
      </w:r>
    </w:p>
    <w:p w:rsidR="004627DB" w:rsidRDefault="004627DB" w:rsidP="004627DB">
      <w:r>
        <w:t>Calculated from ‘Total Admissions at Risk for PPA</w:t>
      </w:r>
      <w:r w:rsidR="006944EE">
        <w:t>’</w:t>
      </w:r>
      <w:r>
        <w:t>, ‘</w:t>
      </w:r>
      <w:r w:rsidRPr="004627DB">
        <w:t>Actual Number of PPA</w:t>
      </w:r>
      <w:r>
        <w:t>’, and ‘Members with PPAs’ for all providers excluding those identified as low volume providers.</w:t>
      </w:r>
    </w:p>
    <w:p w:rsidR="00287525" w:rsidRDefault="00287525" w:rsidP="004627DB">
      <w:pPr>
        <w:pStyle w:val="Heading3"/>
      </w:pPr>
      <w:r>
        <w:br w:type="page"/>
      </w:r>
    </w:p>
    <w:p w:rsidR="00330910" w:rsidRPr="00791551" w:rsidRDefault="004627DB" w:rsidP="004627DB">
      <w:pPr>
        <w:pStyle w:val="Heading3"/>
        <w:rPr>
          <w:rFonts w:asciiTheme="minorHAnsi" w:hAnsiTheme="minorHAnsi"/>
          <w:sz w:val="26"/>
          <w:u w:val="single"/>
        </w:rPr>
      </w:pPr>
      <w:bookmarkStart w:id="8" w:name="_Toc446330052"/>
      <w:r w:rsidRPr="00791551">
        <w:rPr>
          <w:rFonts w:asciiTheme="minorHAnsi" w:hAnsiTheme="minorHAnsi"/>
          <w:sz w:val="26"/>
          <w:u w:val="single"/>
        </w:rPr>
        <w:lastRenderedPageBreak/>
        <w:t>PPA Results by Category</w:t>
      </w:r>
      <w:bookmarkEnd w:id="8"/>
    </w:p>
    <w:p w:rsidR="004627DB" w:rsidRDefault="004627DB" w:rsidP="004627DB">
      <w:pPr>
        <w:pStyle w:val="Heading4"/>
      </w:pPr>
      <w:r>
        <w:t>Category</w:t>
      </w:r>
    </w:p>
    <w:p w:rsidR="004627DB" w:rsidRDefault="004627DB" w:rsidP="004627DB">
      <w:r>
        <w:t>Categories are identified by APR-DRG</w:t>
      </w:r>
    </w:p>
    <w:tbl>
      <w:tblPr>
        <w:tblStyle w:val="LightShading"/>
        <w:tblW w:w="7555" w:type="dxa"/>
        <w:jc w:val="center"/>
        <w:tblLook w:val="04A0" w:firstRow="1" w:lastRow="0" w:firstColumn="1" w:lastColumn="0" w:noHBand="0" w:noVBand="1"/>
      </w:tblPr>
      <w:tblGrid>
        <w:gridCol w:w="4675"/>
        <w:gridCol w:w="2880"/>
      </w:tblGrid>
      <w:tr w:rsidR="004627DB" w:rsidRPr="004627DB" w:rsidTr="004627D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tcPr>
          <w:p w:rsidR="004627DB" w:rsidRPr="004627DB" w:rsidRDefault="004627DB" w:rsidP="004627DB">
            <w:pPr>
              <w:rPr>
                <w:rFonts w:ascii="Calibri" w:eastAsia="Times New Roman" w:hAnsi="Calibri" w:cs="Times New Roman"/>
                <w:color w:val="000000"/>
              </w:rPr>
            </w:pPr>
            <w:r>
              <w:rPr>
                <w:rFonts w:ascii="Calibri" w:eastAsia="Times New Roman" w:hAnsi="Calibri" w:cs="Times New Roman"/>
                <w:color w:val="000000"/>
              </w:rPr>
              <w:t>Category</w:t>
            </w:r>
          </w:p>
        </w:tc>
        <w:tc>
          <w:tcPr>
            <w:tcW w:w="2880" w:type="dxa"/>
          </w:tcPr>
          <w:p w:rsidR="004627DB" w:rsidRPr="004627DB" w:rsidRDefault="004627DB" w:rsidP="004627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APR-DRG</w:t>
            </w:r>
          </w:p>
        </w:tc>
      </w:tr>
      <w:tr w:rsidR="004627DB" w:rsidRPr="004627DB" w:rsidTr="004627D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CHF (Congestive Heart Failure)</w:t>
            </w:r>
          </w:p>
        </w:tc>
        <w:tc>
          <w:tcPr>
            <w:tcW w:w="2880" w:type="dxa"/>
            <w:hideMark/>
          </w:tcPr>
          <w:p w:rsidR="004627DB" w:rsidRPr="004627DB" w:rsidRDefault="004627DB" w:rsidP="004627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194</w:t>
            </w:r>
          </w:p>
        </w:tc>
      </w:tr>
      <w:tr w:rsidR="004627DB" w:rsidRPr="004627DB" w:rsidTr="004627DB">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DM (Diabetes)</w:t>
            </w:r>
          </w:p>
        </w:tc>
        <w:tc>
          <w:tcPr>
            <w:tcW w:w="2880" w:type="dxa"/>
            <w:hideMark/>
          </w:tcPr>
          <w:p w:rsidR="004627DB" w:rsidRPr="004627DB" w:rsidRDefault="004627DB" w:rsidP="004627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420</w:t>
            </w:r>
          </w:p>
        </w:tc>
      </w:tr>
      <w:tr w:rsidR="004627DB" w:rsidRPr="004627DB" w:rsidTr="004627D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BH/SA (Behavioral Health or Substance Abuse)</w:t>
            </w:r>
          </w:p>
        </w:tc>
        <w:tc>
          <w:tcPr>
            <w:tcW w:w="2880" w:type="dxa"/>
            <w:hideMark/>
          </w:tcPr>
          <w:p w:rsidR="004627DB" w:rsidRPr="004627DB" w:rsidRDefault="004627DB" w:rsidP="004627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 xml:space="preserve"> 750, 751, 752, 753, 754, 755, 756, 757, 758, 759, 760, 772, 773, 774, 775, 776</w:t>
            </w:r>
          </w:p>
        </w:tc>
      </w:tr>
      <w:tr w:rsidR="004627DB" w:rsidRPr="004627DB" w:rsidTr="004627DB">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COPD (Chronic Obstructive Pulmonary Disease)</w:t>
            </w:r>
          </w:p>
        </w:tc>
        <w:tc>
          <w:tcPr>
            <w:tcW w:w="2880" w:type="dxa"/>
            <w:hideMark/>
          </w:tcPr>
          <w:p w:rsidR="004627DB" w:rsidRPr="004627DB" w:rsidRDefault="004627DB" w:rsidP="004627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140</w:t>
            </w:r>
          </w:p>
        </w:tc>
      </w:tr>
      <w:tr w:rsidR="004627DB" w:rsidRPr="004627DB" w:rsidTr="004627D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Adult Asthma  (Age&gt;18yrs)</w:t>
            </w:r>
          </w:p>
        </w:tc>
        <w:tc>
          <w:tcPr>
            <w:tcW w:w="2880" w:type="dxa"/>
            <w:hideMark/>
          </w:tcPr>
          <w:p w:rsidR="004627DB" w:rsidRPr="004627DB" w:rsidRDefault="004627DB" w:rsidP="004627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141</w:t>
            </w:r>
          </w:p>
        </w:tc>
      </w:tr>
      <w:tr w:rsidR="004627DB" w:rsidRPr="004627DB" w:rsidTr="004627DB">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Pediatric Asthma  (Age&lt;=18yrs)</w:t>
            </w:r>
          </w:p>
        </w:tc>
        <w:tc>
          <w:tcPr>
            <w:tcW w:w="2880" w:type="dxa"/>
            <w:hideMark/>
          </w:tcPr>
          <w:p w:rsidR="004627DB" w:rsidRPr="004627DB" w:rsidRDefault="004627DB" w:rsidP="004627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141</w:t>
            </w:r>
          </w:p>
        </w:tc>
      </w:tr>
      <w:tr w:rsidR="004627DB" w:rsidRPr="004627DB" w:rsidTr="004627D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CP &amp; CAD (Angina and Coronary Artery Disease)</w:t>
            </w:r>
          </w:p>
        </w:tc>
        <w:tc>
          <w:tcPr>
            <w:tcW w:w="2880" w:type="dxa"/>
            <w:hideMark/>
          </w:tcPr>
          <w:p w:rsidR="004627DB" w:rsidRPr="004627DB" w:rsidRDefault="004627DB" w:rsidP="004627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 xml:space="preserve"> 198, 203</w:t>
            </w:r>
          </w:p>
        </w:tc>
      </w:tr>
      <w:tr w:rsidR="004627DB" w:rsidRPr="004627DB" w:rsidTr="004627DB">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HTN (Hypertension)</w:t>
            </w:r>
          </w:p>
        </w:tc>
        <w:tc>
          <w:tcPr>
            <w:tcW w:w="2880" w:type="dxa"/>
            <w:hideMark/>
          </w:tcPr>
          <w:p w:rsidR="004627DB" w:rsidRPr="004627DB" w:rsidRDefault="004627DB" w:rsidP="004627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199</w:t>
            </w:r>
          </w:p>
        </w:tc>
      </w:tr>
      <w:tr w:rsidR="004627DB" w:rsidRPr="004627DB" w:rsidTr="004627D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Cellulitis</w:t>
            </w:r>
          </w:p>
        </w:tc>
        <w:tc>
          <w:tcPr>
            <w:tcW w:w="2880" w:type="dxa"/>
            <w:hideMark/>
          </w:tcPr>
          <w:p w:rsidR="004627DB" w:rsidRPr="004627DB" w:rsidRDefault="004627DB" w:rsidP="004627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383</w:t>
            </w:r>
          </w:p>
        </w:tc>
      </w:tr>
      <w:tr w:rsidR="004627DB" w:rsidRPr="004627DB" w:rsidTr="004627DB">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Bacterial PNA (Respiratory Infection)</w:t>
            </w:r>
          </w:p>
        </w:tc>
        <w:tc>
          <w:tcPr>
            <w:tcW w:w="2880" w:type="dxa"/>
            <w:hideMark/>
          </w:tcPr>
          <w:p w:rsidR="004627DB" w:rsidRPr="004627DB" w:rsidRDefault="004627DB" w:rsidP="004627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 xml:space="preserve"> 113, 137, 139</w:t>
            </w:r>
          </w:p>
        </w:tc>
      </w:tr>
      <w:tr w:rsidR="004627DB" w:rsidRPr="004627DB" w:rsidTr="004627D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PE &amp; RF (Pulmonary Edema and Respiratory Failure)</w:t>
            </w:r>
          </w:p>
        </w:tc>
        <w:tc>
          <w:tcPr>
            <w:tcW w:w="2880" w:type="dxa"/>
            <w:hideMark/>
          </w:tcPr>
          <w:p w:rsidR="004627DB" w:rsidRPr="004627DB" w:rsidRDefault="004627DB" w:rsidP="004627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133</w:t>
            </w:r>
          </w:p>
        </w:tc>
      </w:tr>
      <w:tr w:rsidR="004627DB" w:rsidRPr="004627DB" w:rsidTr="004627DB">
        <w:trPr>
          <w:trHeight w:val="20"/>
          <w:jc w:val="center"/>
        </w:trPr>
        <w:tc>
          <w:tcPr>
            <w:cnfStyle w:val="001000000000" w:firstRow="0" w:lastRow="0" w:firstColumn="1" w:lastColumn="0" w:oddVBand="0" w:evenVBand="0" w:oddHBand="0" w:evenHBand="0" w:firstRowFirstColumn="0" w:firstRowLastColumn="0" w:lastRowFirstColumn="0" w:lastRowLastColumn="0"/>
            <w:tcW w:w="4675" w:type="dxa"/>
            <w:hideMark/>
          </w:tcPr>
          <w:p w:rsidR="004627DB" w:rsidRPr="004627DB" w:rsidRDefault="004627DB" w:rsidP="004627DB">
            <w:pPr>
              <w:rPr>
                <w:rFonts w:ascii="Calibri" w:eastAsia="Times New Roman" w:hAnsi="Calibri" w:cs="Times New Roman"/>
                <w:color w:val="000000"/>
              </w:rPr>
            </w:pPr>
            <w:r w:rsidRPr="004627DB">
              <w:rPr>
                <w:rFonts w:ascii="Calibri" w:eastAsia="Times New Roman" w:hAnsi="Calibri" w:cs="Times New Roman"/>
                <w:color w:val="000000"/>
              </w:rPr>
              <w:t>Others</w:t>
            </w:r>
          </w:p>
        </w:tc>
        <w:tc>
          <w:tcPr>
            <w:tcW w:w="2880" w:type="dxa"/>
            <w:hideMark/>
          </w:tcPr>
          <w:p w:rsidR="004627DB" w:rsidRPr="004627DB" w:rsidRDefault="004627DB" w:rsidP="004627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27DB">
              <w:rPr>
                <w:rFonts w:ascii="Calibri" w:eastAsia="Times New Roman" w:hAnsi="Calibri" w:cs="Times New Roman"/>
                <w:color w:val="000000"/>
              </w:rPr>
              <w:t xml:space="preserve"> All other APR-DRGs</w:t>
            </w:r>
          </w:p>
        </w:tc>
      </w:tr>
    </w:tbl>
    <w:p w:rsidR="004627DB" w:rsidRDefault="004627DB" w:rsidP="004627DB">
      <w:pPr>
        <w:pStyle w:val="Heading4"/>
      </w:pPr>
      <w:r>
        <w:t>Number of PPAs</w:t>
      </w:r>
    </w:p>
    <w:p w:rsidR="004627DB" w:rsidRDefault="004627DB" w:rsidP="004627DB">
      <w:r>
        <w:t>Encounters identified as PPAs within the category</w:t>
      </w:r>
    </w:p>
    <w:p w:rsidR="004627DB" w:rsidRDefault="004627DB" w:rsidP="004627DB">
      <w:pPr>
        <w:pStyle w:val="Heading4"/>
      </w:pPr>
      <w:r>
        <w:t>PPA Category Rate (weighted) per 1,000 Resource Un</w:t>
      </w:r>
      <w:r w:rsidR="00B11113">
        <w:t>i</w:t>
      </w:r>
      <w:r>
        <w:t>t</w:t>
      </w:r>
    </w:p>
    <w:p w:rsidR="004627DB" w:rsidRDefault="00B11113" w:rsidP="004627DB">
      <w:r>
        <w:t xml:space="preserve">The sum of relative weights for </w:t>
      </w:r>
      <w:r w:rsidR="00AD4EC8">
        <w:t>encounters in ‘</w:t>
      </w:r>
      <w:r>
        <w:t>Category –</w:t>
      </w:r>
      <w:r w:rsidR="00AD4EC8">
        <w:t xml:space="preserve"> </w:t>
      </w:r>
      <w:r>
        <w:t xml:space="preserve">Number of PPA’ divided by the sum of relative weights for encounters in </w:t>
      </w:r>
      <w:r w:rsidR="00AD4EC8">
        <w:t>‘</w:t>
      </w:r>
      <w:r>
        <w:t xml:space="preserve">Provider – </w:t>
      </w:r>
      <w:r w:rsidRPr="00A31A6F">
        <w:t>Total Admissions at Risk for PPA</w:t>
      </w:r>
      <w:r>
        <w:t>’ times 1,000.</w:t>
      </w:r>
    </w:p>
    <w:p w:rsidR="00B11113" w:rsidRDefault="00B11113" w:rsidP="00B11113">
      <w:pPr>
        <w:pStyle w:val="Heading4"/>
      </w:pPr>
      <w:r>
        <w:t>State P</w:t>
      </w:r>
      <w:r w:rsidR="00517B3B">
        <w:t>ercentile of PPA Weighted Rate p</w:t>
      </w:r>
      <w:r>
        <w:t>er 1,000 Resource Unit</w:t>
      </w:r>
    </w:p>
    <w:p w:rsidR="00B11113" w:rsidRDefault="00B11113" w:rsidP="00B11113">
      <w:r>
        <w:t>Calculated from ‘</w:t>
      </w:r>
      <w:r w:rsidRPr="00B11113">
        <w:t>PPA Category Rate (weighted) per 1,000 Resource Unit</w:t>
      </w:r>
      <w:r>
        <w:t>’ for all providers excluding those identified as low volume providers.</w:t>
      </w:r>
    </w:p>
    <w:p w:rsidR="00B11113" w:rsidRDefault="00B11113" w:rsidP="00B11113">
      <w:pPr>
        <w:pStyle w:val="Heading4"/>
      </w:pPr>
      <w:r>
        <w:t>Fraction of all PPAs</w:t>
      </w:r>
    </w:p>
    <w:p w:rsidR="00B11113" w:rsidRDefault="00AD4EC8" w:rsidP="00B11113">
      <w:r>
        <w:t>‘</w:t>
      </w:r>
      <w:r w:rsidR="00B11113">
        <w:t xml:space="preserve">Category – Number of PPAs’ divided by </w:t>
      </w:r>
      <w:r>
        <w:t>‘</w:t>
      </w:r>
      <w:r w:rsidR="00B11113">
        <w:t>Provider – Actual Number of PPAs’.</w:t>
      </w:r>
    </w:p>
    <w:p w:rsidR="00B11113" w:rsidRDefault="00B11113" w:rsidP="00B11113">
      <w:pPr>
        <w:pStyle w:val="Heading4"/>
      </w:pPr>
      <w:r>
        <w:t>PPA Expenditures</w:t>
      </w:r>
    </w:p>
    <w:p w:rsidR="00B11113" w:rsidRDefault="00B11113" w:rsidP="00B11113">
      <w:r>
        <w:t xml:space="preserve">Paid amounts for encounters included in </w:t>
      </w:r>
      <w:r w:rsidR="00AD4EC8">
        <w:t>‘</w:t>
      </w:r>
      <w:r>
        <w:t>Category – Number of PPAs’.</w:t>
      </w:r>
    </w:p>
    <w:p w:rsidR="00B11113" w:rsidRDefault="00AD4EC8" w:rsidP="00AD4EC8">
      <w:pPr>
        <w:pStyle w:val="Heading4"/>
      </w:pPr>
      <w:r>
        <w:t>Fraction of PPA Expenditures</w:t>
      </w:r>
    </w:p>
    <w:p w:rsidR="00AD4EC8" w:rsidRDefault="00AD4EC8" w:rsidP="00AD4EC8">
      <w:r>
        <w:t>‘Category – PPA Expenditures’ divided by ‘Provider – Actual PPA Expenditures’.</w:t>
      </w:r>
    </w:p>
    <w:p w:rsidR="00AD4EC8" w:rsidRPr="00791551" w:rsidRDefault="00AD4EC8" w:rsidP="00AD4EC8">
      <w:pPr>
        <w:pStyle w:val="Heading3"/>
        <w:rPr>
          <w:rFonts w:asciiTheme="minorHAnsi" w:hAnsiTheme="minorHAnsi"/>
          <w:sz w:val="26"/>
          <w:u w:val="single"/>
        </w:rPr>
      </w:pPr>
      <w:bookmarkStart w:id="9" w:name="_Toc446330053"/>
      <w:r w:rsidRPr="00791551">
        <w:rPr>
          <w:rFonts w:asciiTheme="minorHAnsi" w:hAnsiTheme="minorHAnsi"/>
          <w:sz w:val="26"/>
          <w:u w:val="single"/>
        </w:rPr>
        <w:t>PPA Results by APR-DRG</w:t>
      </w:r>
      <w:bookmarkEnd w:id="9"/>
    </w:p>
    <w:p w:rsidR="00AD4EC8" w:rsidRPr="00AD4EC8" w:rsidRDefault="00AD4EC8" w:rsidP="00AD4EC8">
      <w:r>
        <w:t>Column description are the same as for PPA results by Category</w:t>
      </w:r>
    </w:p>
    <w:p w:rsidR="00AD4EC8" w:rsidRPr="00AD4EC8" w:rsidRDefault="00AD4EC8" w:rsidP="00AD4EC8"/>
    <w:p w:rsidR="00B04F32" w:rsidRDefault="00B04F32" w:rsidP="00A16CC6">
      <w:pPr>
        <w:pStyle w:val="Heading1"/>
        <w:sectPr w:rsidR="00B04F32" w:rsidSect="00D85408">
          <w:headerReference w:type="default" r:id="rId12"/>
          <w:footerReference w:type="default" r:id="rId13"/>
          <w:pgSz w:w="12240" w:h="15840"/>
          <w:pgMar w:top="1440" w:right="1440" w:bottom="1440" w:left="1440" w:header="720" w:footer="720" w:gutter="0"/>
          <w:pgNumType w:start="1"/>
          <w:cols w:space="720"/>
          <w:docGrid w:linePitch="360"/>
        </w:sectPr>
      </w:pPr>
    </w:p>
    <w:p w:rsidR="00A16CC6" w:rsidRDefault="00A16CC6" w:rsidP="00A16CC6">
      <w:pPr>
        <w:pStyle w:val="Heading1"/>
      </w:pPr>
      <w:bookmarkStart w:id="10" w:name="_Toc446330054"/>
      <w:r>
        <w:lastRenderedPageBreak/>
        <w:t>Section 6. Glossary</w:t>
      </w:r>
      <w:bookmarkEnd w:id="10"/>
    </w:p>
    <w:p w:rsidR="00A16CC6" w:rsidRDefault="00A16CC6" w:rsidP="00A16CC6">
      <w:pPr>
        <w:pStyle w:val="Heading3"/>
      </w:pPr>
      <w:bookmarkStart w:id="11" w:name="_Toc446330055"/>
      <w:r w:rsidRPr="00A16CC6">
        <w:t>3M</w:t>
      </w:r>
      <w:r>
        <w:t>™</w:t>
      </w:r>
      <w:r w:rsidRPr="00A16CC6">
        <w:t xml:space="preserve"> APR DRGs</w:t>
      </w:r>
      <w:bookmarkEnd w:id="11"/>
    </w:p>
    <w:p w:rsidR="00A16CC6" w:rsidRDefault="00A16CC6" w:rsidP="00A16CC6">
      <w:r>
        <w:t>APR DRGs classify patients according to their reason for admission, severity of illness and risk of mortality. APR DRGs use claims data to assign patients to one of 314 “base APR DRGs” that are determined either by the principal diagnosis, or, for surgical patients, the most important surgical procedure performed in an operating room. Each base APR DRG is then divided into four severity of illness (SOI) levels, determined primarily by secondary diagnoses that reflect both comorbid conditions and the severity of the underlying illness, creating the final set of 1,256 APR DRGs. The present on admission indicator for each secondary diagnosis is a required data field for computing the admission severity of illness.</w:t>
      </w:r>
    </w:p>
    <w:p w:rsidR="00A16CC6" w:rsidRDefault="00A16CC6" w:rsidP="00A16CC6">
      <w:pPr>
        <w:pStyle w:val="Heading3"/>
      </w:pPr>
      <w:bookmarkStart w:id="12" w:name="_Toc446330056"/>
      <w:r>
        <w:t>CRGs</w:t>
      </w:r>
      <w:bookmarkEnd w:id="12"/>
    </w:p>
    <w:p w:rsidR="00A16CC6" w:rsidRDefault="00A16CC6" w:rsidP="00A16CC6">
      <w:r>
        <w:t>The CRGs are a categorical clinical model which assigns each enrollee to a single mutually exclusive risk group based on their chronic illness burden. These groups relate the historical clinical and demographic characteristics of the enrollee to the amount and type of healthcare resources that enrollee will consume in the future</w:t>
      </w:r>
      <w:r w:rsidR="00B04F32">
        <w:t>. CRG can be grouped within 9 overall status categories:</w:t>
      </w:r>
    </w:p>
    <w:p w:rsidR="00B04F32" w:rsidRDefault="00B04F32" w:rsidP="00B04F32">
      <w:pPr>
        <w:pStyle w:val="ListParagraph"/>
        <w:numPr>
          <w:ilvl w:val="0"/>
          <w:numId w:val="21"/>
        </w:numPr>
      </w:pPr>
      <w:r w:rsidRPr="00B04F32">
        <w:rPr>
          <w:b/>
        </w:rPr>
        <w:t xml:space="preserve">Healthy. </w:t>
      </w:r>
      <w:r>
        <w:t>Healthy status is identified by the absence of any primary chronic disease or significant acute episode disease categories or episode procedure categories Healthy status may have Minor Acute EDCs present  but are otherwise healthy. The healthy status also includes individuals who had no medical care encounters.</w:t>
      </w:r>
    </w:p>
    <w:p w:rsidR="00B04F32" w:rsidRDefault="00B04F32" w:rsidP="00B04F32">
      <w:pPr>
        <w:pStyle w:val="ListParagraph"/>
        <w:numPr>
          <w:ilvl w:val="0"/>
          <w:numId w:val="21"/>
        </w:numPr>
      </w:pPr>
      <w:r w:rsidRPr="00B04F32">
        <w:rPr>
          <w:b/>
        </w:rPr>
        <w:t>Recent History of Significant Acute Disease.</w:t>
      </w:r>
      <w:r>
        <w:t xml:space="preserve"> History of significant acute disease is identified by the presence within the most recent six month period of one or more Significant Acute episode disease categories or significant episode procedure categories. There are no primary chronic diseases present.</w:t>
      </w:r>
    </w:p>
    <w:p w:rsidR="00B04F32" w:rsidRDefault="00B04F32" w:rsidP="00B04F32">
      <w:pPr>
        <w:pStyle w:val="ListParagraph"/>
        <w:numPr>
          <w:ilvl w:val="0"/>
          <w:numId w:val="21"/>
        </w:numPr>
      </w:pPr>
      <w:r w:rsidRPr="00B04F32">
        <w:rPr>
          <w:b/>
        </w:rPr>
        <w:t>Single Minor Chronic Disease.</w:t>
      </w:r>
      <w:r>
        <w:t xml:space="preserve"> </w:t>
      </w:r>
    </w:p>
    <w:p w:rsidR="00B04F32" w:rsidRDefault="00B04F32" w:rsidP="00B04F32">
      <w:pPr>
        <w:pStyle w:val="ListParagraph"/>
        <w:numPr>
          <w:ilvl w:val="0"/>
          <w:numId w:val="21"/>
        </w:numPr>
      </w:pPr>
      <w:r w:rsidRPr="00B04F32">
        <w:rPr>
          <w:b/>
        </w:rPr>
        <w:t xml:space="preserve">Minor Chronic Disease in Multiple Organ Systems. </w:t>
      </w:r>
    </w:p>
    <w:p w:rsidR="00B04F32" w:rsidRDefault="00B04F32" w:rsidP="00B04F32">
      <w:pPr>
        <w:pStyle w:val="ListParagraph"/>
        <w:numPr>
          <w:ilvl w:val="0"/>
          <w:numId w:val="21"/>
        </w:numPr>
      </w:pPr>
      <w:r w:rsidRPr="00B04F32">
        <w:rPr>
          <w:b/>
        </w:rPr>
        <w:t>Single Dominant or Moderate Chronic Disease.</w:t>
      </w:r>
      <w:r>
        <w:t xml:space="preserve"> </w:t>
      </w:r>
    </w:p>
    <w:p w:rsidR="00B04F32" w:rsidRDefault="00B04F32" w:rsidP="00B04F32">
      <w:pPr>
        <w:pStyle w:val="ListParagraph"/>
        <w:numPr>
          <w:ilvl w:val="0"/>
          <w:numId w:val="21"/>
        </w:numPr>
      </w:pPr>
      <w:r w:rsidRPr="00B04F32">
        <w:rPr>
          <w:b/>
        </w:rPr>
        <w:t>Dominant or Moderate Chronic Disease</w:t>
      </w:r>
      <w:r>
        <w:rPr>
          <w:b/>
        </w:rPr>
        <w:t xml:space="preserve"> </w:t>
      </w:r>
      <w:r w:rsidRPr="00B04F32">
        <w:rPr>
          <w:b/>
        </w:rPr>
        <w:t>in Multiple Organ Systems</w:t>
      </w:r>
      <w:r>
        <w:rPr>
          <w:b/>
        </w:rPr>
        <w:t xml:space="preserve">. </w:t>
      </w:r>
    </w:p>
    <w:p w:rsidR="00B04F32" w:rsidRDefault="00B04F32" w:rsidP="00B04F32">
      <w:pPr>
        <w:pStyle w:val="ListParagraph"/>
        <w:numPr>
          <w:ilvl w:val="0"/>
          <w:numId w:val="21"/>
        </w:numPr>
      </w:pPr>
      <w:r w:rsidRPr="00B04F32">
        <w:rPr>
          <w:b/>
        </w:rPr>
        <w:t xml:space="preserve">Significant Chronic Disease in Multiple Organ Systems. </w:t>
      </w:r>
    </w:p>
    <w:p w:rsidR="00B04F32" w:rsidRDefault="00B04F32" w:rsidP="00B04F32">
      <w:pPr>
        <w:pStyle w:val="ListParagraph"/>
        <w:numPr>
          <w:ilvl w:val="0"/>
          <w:numId w:val="21"/>
        </w:numPr>
      </w:pPr>
      <w:r w:rsidRPr="00B04F32">
        <w:rPr>
          <w:b/>
        </w:rPr>
        <w:t xml:space="preserve">Dominant, Metastatic and Complicated Malignancies. </w:t>
      </w:r>
      <w:r>
        <w:t>Malignancy that dominates the medical care required (e.g., brain malignancy) or a non-dominant malignancy (e.g., prostate malignancy) that is metastatic or complicated (e.g., requiring a bone marrow transplant).</w:t>
      </w:r>
    </w:p>
    <w:p w:rsidR="00BE4534" w:rsidRDefault="00B04F32" w:rsidP="00BE4534">
      <w:pPr>
        <w:pStyle w:val="ListParagraph"/>
        <w:numPr>
          <w:ilvl w:val="0"/>
          <w:numId w:val="21"/>
        </w:numPr>
      </w:pPr>
      <w:r w:rsidRPr="00B04F32">
        <w:rPr>
          <w:b/>
        </w:rPr>
        <w:t xml:space="preserve">Catastrophic Conditions. </w:t>
      </w:r>
      <w:r>
        <w:t>Catastrophic Conditions include long term dependency on medical technology (e.g., dialysis, respirator, and total parenteral nutrition, (TPN) and life-defining chronic diseases or conditions that dominate the medical care required (e.g., persistent vegetative state, cystic fibrosis, AIDS, history of heart transplant)</w:t>
      </w:r>
    </w:p>
    <w:p w:rsidR="00BE4534" w:rsidRPr="00983731" w:rsidRDefault="00BE4534" w:rsidP="00BE4534">
      <w:pPr>
        <w:pStyle w:val="Heading1"/>
      </w:pPr>
      <w:bookmarkStart w:id="13" w:name="_Toc385425578"/>
      <w:bookmarkStart w:id="14" w:name="_Toc402865010"/>
      <w:bookmarkStart w:id="15" w:name="_Toc402867349"/>
      <w:bookmarkStart w:id="16" w:name="_Toc446330057"/>
      <w:r w:rsidRPr="00983731">
        <w:lastRenderedPageBreak/>
        <w:t>Reference</w:t>
      </w:r>
      <w:bookmarkEnd w:id="13"/>
      <w:bookmarkEnd w:id="14"/>
      <w:bookmarkEnd w:id="15"/>
      <w:bookmarkEnd w:id="16"/>
    </w:p>
    <w:p w:rsidR="00BE4534" w:rsidRDefault="00BE4534" w:rsidP="00BE4534">
      <w:pPr>
        <w:rPr>
          <w:rFonts w:ascii="Calibri" w:eastAsiaTheme="majorEastAsia" w:hAnsi="Calibri" w:cstheme="majorBidi"/>
          <w:b/>
          <w:bCs/>
          <w:sz w:val="28"/>
          <w:szCs w:val="28"/>
        </w:rPr>
      </w:pPr>
      <w:r>
        <w:t>3M</w:t>
      </w:r>
      <w:r w:rsidRPr="00A20929">
        <w:rPr>
          <w:vertAlign w:val="superscript"/>
        </w:rPr>
        <w:t>TM</w:t>
      </w:r>
      <w:r>
        <w:t xml:space="preserve"> Health Information Systems. Population Focused Preventables Classification System</w:t>
      </w:r>
      <w:r w:rsidR="00561788">
        <w:t xml:space="preserve"> (Version 1.3.1): Definitions Manual</w:t>
      </w:r>
      <w:r>
        <w:t>.</w:t>
      </w:r>
      <w:r w:rsidR="00561788">
        <w:t xml:space="preserve"> GRP-266, 2014.</w:t>
      </w:r>
    </w:p>
    <w:p w:rsidR="00BE4534" w:rsidRPr="00A16CC6" w:rsidRDefault="00BE4534" w:rsidP="00791551">
      <w:pPr>
        <w:pStyle w:val="ListParagraph"/>
      </w:pPr>
    </w:p>
    <w:sectPr w:rsidR="00BE4534" w:rsidRPr="00A16CC6" w:rsidSect="00144F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EB" w:rsidRDefault="000245EB" w:rsidP="00114988">
      <w:pPr>
        <w:spacing w:after="0" w:line="240" w:lineRule="auto"/>
      </w:pPr>
      <w:r>
        <w:separator/>
      </w:r>
    </w:p>
  </w:endnote>
  <w:endnote w:type="continuationSeparator" w:id="0">
    <w:p w:rsidR="000245EB" w:rsidRDefault="000245EB" w:rsidP="0011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10" w:rsidRPr="00E661C7" w:rsidRDefault="009D0810" w:rsidP="00E661C7">
    <w:pPr>
      <w:pStyle w:val="Footer"/>
      <w:pBdr>
        <w:top w:val="thinThickSmallGap" w:sz="24" w:space="1" w:color="622423" w:themeColor="accent2" w:themeShade="7F"/>
      </w:pBdr>
      <w:rPr>
        <w:rFonts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10" w:rsidRPr="00397BDA" w:rsidRDefault="009D0810" w:rsidP="00397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BDA" w:rsidRPr="00E661C7" w:rsidRDefault="00397BDA" w:rsidP="00397BDA">
    <w:pPr>
      <w:pStyle w:val="Footer"/>
      <w:pBdr>
        <w:top w:val="thinThickSmallGap" w:sz="24" w:space="1" w:color="622423" w:themeColor="accent2" w:themeShade="7F"/>
      </w:pBdr>
      <w:jc w:val="right"/>
      <w:rPr>
        <w:rFonts w:cs="Times New Roman"/>
        <w:sz w:val="18"/>
        <w:szCs w:val="18"/>
      </w:rPr>
    </w:pPr>
    <w:r>
      <w:rPr>
        <w:rFonts w:cs="Times New Roman"/>
        <w:sz w:val="18"/>
        <w:szCs w:val="18"/>
      </w:rPr>
      <w:t xml:space="preserve">Page </w:t>
    </w:r>
    <w:r w:rsidRPr="00397BDA">
      <w:rPr>
        <w:rFonts w:cs="Times New Roman"/>
        <w:sz w:val="18"/>
        <w:szCs w:val="18"/>
      </w:rPr>
      <w:fldChar w:fldCharType="begin"/>
    </w:r>
    <w:r w:rsidRPr="00397BDA">
      <w:rPr>
        <w:rFonts w:cs="Times New Roman"/>
        <w:sz w:val="18"/>
        <w:szCs w:val="18"/>
      </w:rPr>
      <w:instrText xml:space="preserve"> PAGE   \* MERGEFORMAT </w:instrText>
    </w:r>
    <w:r w:rsidRPr="00397BDA">
      <w:rPr>
        <w:rFonts w:cs="Times New Roman"/>
        <w:sz w:val="18"/>
        <w:szCs w:val="18"/>
      </w:rPr>
      <w:fldChar w:fldCharType="separate"/>
    </w:r>
    <w:r w:rsidR="00923CC3">
      <w:rPr>
        <w:rFonts w:cs="Times New Roman"/>
        <w:noProof/>
        <w:sz w:val="18"/>
        <w:szCs w:val="18"/>
      </w:rPr>
      <w:t>2</w:t>
    </w:r>
    <w:r w:rsidRPr="00397BDA">
      <w:rPr>
        <w:rFonts w:cs="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EB" w:rsidRDefault="000245EB" w:rsidP="00114988">
      <w:pPr>
        <w:spacing w:after="0" w:line="240" w:lineRule="auto"/>
      </w:pPr>
      <w:r>
        <w:separator/>
      </w:r>
    </w:p>
  </w:footnote>
  <w:footnote w:type="continuationSeparator" w:id="0">
    <w:p w:rsidR="000245EB" w:rsidRDefault="000245EB" w:rsidP="00114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738" w:type="dxa"/>
      <w:jc w:val="center"/>
      <w:tblCellMar>
        <w:left w:w="115" w:type="dxa"/>
        <w:right w:w="115" w:type="dxa"/>
      </w:tblCellMar>
      <w:tblLook w:val="04A0" w:firstRow="1" w:lastRow="0" w:firstColumn="1" w:lastColumn="0" w:noHBand="0" w:noVBand="1"/>
    </w:tblPr>
    <w:tblGrid>
      <w:gridCol w:w="3079"/>
      <w:gridCol w:w="5491"/>
      <w:gridCol w:w="3168"/>
    </w:tblGrid>
    <w:tr w:rsidR="009D0810" w:rsidRPr="00681A91" w:rsidTr="00FB12AF">
      <w:trPr>
        <w:trHeight w:val="990"/>
        <w:jc w:val="center"/>
      </w:trPr>
      <w:tc>
        <w:tcPr>
          <w:tcW w:w="3079" w:type="dxa"/>
          <w:vAlign w:val="center"/>
        </w:tcPr>
        <w:p w:rsidR="009D0810" w:rsidRPr="00681A91" w:rsidRDefault="009D0810" w:rsidP="001A44EC">
          <w:pPr>
            <w:jc w:val="center"/>
          </w:pPr>
        </w:p>
      </w:tc>
      <w:tc>
        <w:tcPr>
          <w:tcW w:w="5491" w:type="dxa"/>
          <w:vAlign w:val="center"/>
        </w:tcPr>
        <w:p w:rsidR="009D0810" w:rsidRPr="00681A91" w:rsidRDefault="009D0810" w:rsidP="0041181D">
          <w:pPr>
            <w:jc w:val="center"/>
          </w:pPr>
          <w:r>
            <w:rPr>
              <w:noProof/>
            </w:rPr>
            <w:drawing>
              <wp:inline distT="0" distB="0" distL="0" distR="0" wp14:anchorId="64954D1E" wp14:editId="4EBC6299">
                <wp:extent cx="1828800" cy="691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RO-Final-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691896"/>
                        </a:xfrm>
                        <a:prstGeom prst="rect">
                          <a:avLst/>
                        </a:prstGeom>
                      </pic:spPr>
                    </pic:pic>
                  </a:graphicData>
                </a:graphic>
              </wp:inline>
            </w:drawing>
          </w:r>
        </w:p>
      </w:tc>
      <w:tc>
        <w:tcPr>
          <w:tcW w:w="3168" w:type="dxa"/>
          <w:vAlign w:val="center"/>
        </w:tcPr>
        <w:p w:rsidR="009D0810" w:rsidRPr="00681A91" w:rsidRDefault="009D0810" w:rsidP="001A44EC">
          <w:pPr>
            <w:jc w:val="center"/>
          </w:pPr>
        </w:p>
      </w:tc>
    </w:tr>
  </w:tbl>
  <w:p w:rsidR="009D0810" w:rsidRDefault="009D0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10" w:rsidRDefault="009D08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10" w:rsidRPr="00E661C7" w:rsidRDefault="00D85408">
    <w:pPr>
      <w:pStyle w:val="Header"/>
      <w:rPr>
        <w:i/>
      </w:rPr>
    </w:pPr>
    <w:r>
      <w:rPr>
        <w:i/>
      </w:rPr>
      <w:t xml:space="preserve">PPA </w:t>
    </w:r>
    <w:r w:rsidR="003C7F37">
      <w:rPr>
        <w:i/>
      </w:rPr>
      <w:t xml:space="preserve">Provider Reporting </w:t>
    </w:r>
    <w:r>
      <w:rPr>
        <w:i/>
      </w:rPr>
      <w:t>Technical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FC803DE"/>
    <w:lvl w:ilvl="0">
      <w:start w:val="1"/>
      <w:numFmt w:val="decimal"/>
      <w:lvlText w:val="%1."/>
      <w:lvlJc w:val="left"/>
      <w:pPr>
        <w:tabs>
          <w:tab w:val="num" w:pos="1800"/>
        </w:tabs>
        <w:ind w:left="1800" w:hanging="360"/>
      </w:pPr>
    </w:lvl>
  </w:abstractNum>
  <w:abstractNum w:abstractNumId="1">
    <w:nsid w:val="FFFFFF7D"/>
    <w:multiLevelType w:val="singleLevel"/>
    <w:tmpl w:val="877C3C86"/>
    <w:lvl w:ilvl="0">
      <w:start w:val="1"/>
      <w:numFmt w:val="decimal"/>
      <w:lvlText w:val="%1."/>
      <w:lvlJc w:val="left"/>
      <w:pPr>
        <w:tabs>
          <w:tab w:val="num" w:pos="1440"/>
        </w:tabs>
        <w:ind w:left="1440" w:hanging="360"/>
      </w:pPr>
    </w:lvl>
  </w:abstractNum>
  <w:abstractNum w:abstractNumId="2">
    <w:nsid w:val="FFFFFF7E"/>
    <w:multiLevelType w:val="singleLevel"/>
    <w:tmpl w:val="C5D899D4"/>
    <w:lvl w:ilvl="0">
      <w:start w:val="1"/>
      <w:numFmt w:val="decimal"/>
      <w:lvlText w:val="%1."/>
      <w:lvlJc w:val="left"/>
      <w:pPr>
        <w:tabs>
          <w:tab w:val="num" w:pos="1080"/>
        </w:tabs>
        <w:ind w:left="1080" w:hanging="360"/>
      </w:pPr>
    </w:lvl>
  </w:abstractNum>
  <w:abstractNum w:abstractNumId="3">
    <w:nsid w:val="FFFFFF7F"/>
    <w:multiLevelType w:val="singleLevel"/>
    <w:tmpl w:val="FAD0A668"/>
    <w:lvl w:ilvl="0">
      <w:start w:val="1"/>
      <w:numFmt w:val="decimal"/>
      <w:lvlText w:val="%1."/>
      <w:lvlJc w:val="left"/>
      <w:pPr>
        <w:tabs>
          <w:tab w:val="num" w:pos="720"/>
        </w:tabs>
        <w:ind w:left="720" w:hanging="360"/>
      </w:pPr>
    </w:lvl>
  </w:abstractNum>
  <w:abstractNum w:abstractNumId="4">
    <w:nsid w:val="FFFFFF80"/>
    <w:multiLevelType w:val="singleLevel"/>
    <w:tmpl w:val="8F541C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64BF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A2B7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B828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9E13F8"/>
    <w:lvl w:ilvl="0">
      <w:start w:val="1"/>
      <w:numFmt w:val="decimal"/>
      <w:lvlText w:val="%1."/>
      <w:lvlJc w:val="left"/>
      <w:pPr>
        <w:tabs>
          <w:tab w:val="num" w:pos="360"/>
        </w:tabs>
        <w:ind w:left="360" w:hanging="360"/>
      </w:pPr>
    </w:lvl>
  </w:abstractNum>
  <w:abstractNum w:abstractNumId="9">
    <w:nsid w:val="FFFFFF89"/>
    <w:multiLevelType w:val="singleLevel"/>
    <w:tmpl w:val="4E0477CC"/>
    <w:lvl w:ilvl="0">
      <w:start w:val="1"/>
      <w:numFmt w:val="bullet"/>
      <w:lvlText w:val=""/>
      <w:lvlJc w:val="left"/>
      <w:pPr>
        <w:tabs>
          <w:tab w:val="num" w:pos="360"/>
        </w:tabs>
        <w:ind w:left="360" w:hanging="360"/>
      </w:pPr>
      <w:rPr>
        <w:rFonts w:ascii="Symbol" w:hAnsi="Symbol" w:hint="default"/>
      </w:rPr>
    </w:lvl>
  </w:abstractNum>
  <w:abstractNum w:abstractNumId="10">
    <w:nsid w:val="0213542D"/>
    <w:multiLevelType w:val="hybridMultilevel"/>
    <w:tmpl w:val="EF4C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D78E5"/>
    <w:multiLevelType w:val="hybridMultilevel"/>
    <w:tmpl w:val="59D6FD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B77B58"/>
    <w:multiLevelType w:val="hybridMultilevel"/>
    <w:tmpl w:val="76B8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A87FDE"/>
    <w:multiLevelType w:val="hybridMultilevel"/>
    <w:tmpl w:val="946EB4C4"/>
    <w:lvl w:ilvl="0" w:tplc="9B14F74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839A3"/>
    <w:multiLevelType w:val="hybridMultilevel"/>
    <w:tmpl w:val="E778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C11FC8"/>
    <w:multiLevelType w:val="hybridMultilevel"/>
    <w:tmpl w:val="924A9F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F7E9B"/>
    <w:multiLevelType w:val="hybridMultilevel"/>
    <w:tmpl w:val="970ABF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C92CDB"/>
    <w:multiLevelType w:val="hybridMultilevel"/>
    <w:tmpl w:val="3792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85C55"/>
    <w:multiLevelType w:val="hybridMultilevel"/>
    <w:tmpl w:val="FE0CD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95FAA"/>
    <w:multiLevelType w:val="hybridMultilevel"/>
    <w:tmpl w:val="695E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BB1818"/>
    <w:multiLevelType w:val="hybridMultilevel"/>
    <w:tmpl w:val="2CE81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273191"/>
    <w:multiLevelType w:val="hybridMultilevel"/>
    <w:tmpl w:val="995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21"/>
  </w:num>
  <w:num w:numId="16">
    <w:abstractNumId w:val="10"/>
  </w:num>
  <w:num w:numId="17">
    <w:abstractNumId w:val="15"/>
  </w:num>
  <w:num w:numId="18">
    <w:abstractNumId w:val="17"/>
  </w:num>
  <w:num w:numId="19">
    <w:abstractNumId w:val="11"/>
  </w:num>
  <w:num w:numId="20">
    <w:abstractNumId w:val="13"/>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C2"/>
    <w:rsid w:val="00004522"/>
    <w:rsid w:val="000245EB"/>
    <w:rsid w:val="000318C0"/>
    <w:rsid w:val="00045F87"/>
    <w:rsid w:val="00046735"/>
    <w:rsid w:val="00084EFA"/>
    <w:rsid w:val="00091700"/>
    <w:rsid w:val="000A438E"/>
    <w:rsid w:val="000C0240"/>
    <w:rsid w:val="000D5CD0"/>
    <w:rsid w:val="00111541"/>
    <w:rsid w:val="00114988"/>
    <w:rsid w:val="00144F84"/>
    <w:rsid w:val="001506CE"/>
    <w:rsid w:val="00191AD2"/>
    <w:rsid w:val="001952C0"/>
    <w:rsid w:val="001A44EC"/>
    <w:rsid w:val="001B0B62"/>
    <w:rsid w:val="001B0D73"/>
    <w:rsid w:val="001C1013"/>
    <w:rsid w:val="001D6D01"/>
    <w:rsid w:val="001D7779"/>
    <w:rsid w:val="001E3C5F"/>
    <w:rsid w:val="001E4A2F"/>
    <w:rsid w:val="001E5498"/>
    <w:rsid w:val="001E73F5"/>
    <w:rsid w:val="00200B4E"/>
    <w:rsid w:val="00211B69"/>
    <w:rsid w:val="00213AFB"/>
    <w:rsid w:val="0021725E"/>
    <w:rsid w:val="00222F72"/>
    <w:rsid w:val="00234221"/>
    <w:rsid w:val="002470D9"/>
    <w:rsid w:val="002517AE"/>
    <w:rsid w:val="00251EA7"/>
    <w:rsid w:val="00267122"/>
    <w:rsid w:val="00272756"/>
    <w:rsid w:val="00282E09"/>
    <w:rsid w:val="00287525"/>
    <w:rsid w:val="002B0B9F"/>
    <w:rsid w:val="002C207D"/>
    <w:rsid w:val="002C2EEB"/>
    <w:rsid w:val="00313613"/>
    <w:rsid w:val="00324D01"/>
    <w:rsid w:val="00330910"/>
    <w:rsid w:val="0033418A"/>
    <w:rsid w:val="00342DE8"/>
    <w:rsid w:val="00347F7C"/>
    <w:rsid w:val="00357357"/>
    <w:rsid w:val="00397BDA"/>
    <w:rsid w:val="003B7643"/>
    <w:rsid w:val="003C5ADC"/>
    <w:rsid w:val="003C7F37"/>
    <w:rsid w:val="003D1857"/>
    <w:rsid w:val="003E062F"/>
    <w:rsid w:val="003F7F44"/>
    <w:rsid w:val="00401EC4"/>
    <w:rsid w:val="00403980"/>
    <w:rsid w:val="00403C44"/>
    <w:rsid w:val="0040592A"/>
    <w:rsid w:val="0041181D"/>
    <w:rsid w:val="00442F27"/>
    <w:rsid w:val="00444EDF"/>
    <w:rsid w:val="004627DB"/>
    <w:rsid w:val="00473D1C"/>
    <w:rsid w:val="00476E8B"/>
    <w:rsid w:val="004770DE"/>
    <w:rsid w:val="00490A8E"/>
    <w:rsid w:val="004977BD"/>
    <w:rsid w:val="004D1BE4"/>
    <w:rsid w:val="004E2A4E"/>
    <w:rsid w:val="004E33F6"/>
    <w:rsid w:val="004E43B8"/>
    <w:rsid w:val="00512A5F"/>
    <w:rsid w:val="00512F29"/>
    <w:rsid w:val="00515E8C"/>
    <w:rsid w:val="0051725C"/>
    <w:rsid w:val="00517846"/>
    <w:rsid w:val="00517B3B"/>
    <w:rsid w:val="00557244"/>
    <w:rsid w:val="00561788"/>
    <w:rsid w:val="00591064"/>
    <w:rsid w:val="005A283C"/>
    <w:rsid w:val="005A5625"/>
    <w:rsid w:val="005B4B87"/>
    <w:rsid w:val="005B625E"/>
    <w:rsid w:val="005C2EF3"/>
    <w:rsid w:val="005C65BF"/>
    <w:rsid w:val="005C7EFC"/>
    <w:rsid w:val="005E26B0"/>
    <w:rsid w:val="005E2FA3"/>
    <w:rsid w:val="005E69A9"/>
    <w:rsid w:val="005F217F"/>
    <w:rsid w:val="006012F0"/>
    <w:rsid w:val="0060547C"/>
    <w:rsid w:val="006229FF"/>
    <w:rsid w:val="00631C9A"/>
    <w:rsid w:val="00632FFE"/>
    <w:rsid w:val="00656F97"/>
    <w:rsid w:val="00660E2E"/>
    <w:rsid w:val="00662F10"/>
    <w:rsid w:val="00665956"/>
    <w:rsid w:val="00682C47"/>
    <w:rsid w:val="00685CAF"/>
    <w:rsid w:val="006944EE"/>
    <w:rsid w:val="006C2125"/>
    <w:rsid w:val="006C3D3F"/>
    <w:rsid w:val="006C6409"/>
    <w:rsid w:val="006E1CFB"/>
    <w:rsid w:val="006F216A"/>
    <w:rsid w:val="006F540E"/>
    <w:rsid w:val="006F71E9"/>
    <w:rsid w:val="00710EF2"/>
    <w:rsid w:val="007219F2"/>
    <w:rsid w:val="0072630A"/>
    <w:rsid w:val="00733779"/>
    <w:rsid w:val="00743FAF"/>
    <w:rsid w:val="00763A82"/>
    <w:rsid w:val="007740AA"/>
    <w:rsid w:val="00785C71"/>
    <w:rsid w:val="00790C70"/>
    <w:rsid w:val="0079112C"/>
    <w:rsid w:val="00791551"/>
    <w:rsid w:val="007B44C1"/>
    <w:rsid w:val="007F4EB0"/>
    <w:rsid w:val="008065FC"/>
    <w:rsid w:val="008305A2"/>
    <w:rsid w:val="00831FEE"/>
    <w:rsid w:val="008359E8"/>
    <w:rsid w:val="0084388F"/>
    <w:rsid w:val="00843B6A"/>
    <w:rsid w:val="0086518B"/>
    <w:rsid w:val="00883990"/>
    <w:rsid w:val="008851A9"/>
    <w:rsid w:val="008A2FC2"/>
    <w:rsid w:val="008C36AA"/>
    <w:rsid w:val="008D3FB5"/>
    <w:rsid w:val="008E1285"/>
    <w:rsid w:val="008E3233"/>
    <w:rsid w:val="008E6CC8"/>
    <w:rsid w:val="009001B6"/>
    <w:rsid w:val="00900A33"/>
    <w:rsid w:val="00903A73"/>
    <w:rsid w:val="00904314"/>
    <w:rsid w:val="00923CC3"/>
    <w:rsid w:val="00944E47"/>
    <w:rsid w:val="00947998"/>
    <w:rsid w:val="00961D5E"/>
    <w:rsid w:val="00966872"/>
    <w:rsid w:val="0098322E"/>
    <w:rsid w:val="009A0B14"/>
    <w:rsid w:val="009B2D17"/>
    <w:rsid w:val="009D0810"/>
    <w:rsid w:val="009D7269"/>
    <w:rsid w:val="009E289D"/>
    <w:rsid w:val="009E5CE3"/>
    <w:rsid w:val="009F271E"/>
    <w:rsid w:val="00A16CC6"/>
    <w:rsid w:val="00A17582"/>
    <w:rsid w:val="00A2560F"/>
    <w:rsid w:val="00A31A6F"/>
    <w:rsid w:val="00A50560"/>
    <w:rsid w:val="00A51111"/>
    <w:rsid w:val="00A62518"/>
    <w:rsid w:val="00A629AB"/>
    <w:rsid w:val="00A66A6C"/>
    <w:rsid w:val="00AA4BF9"/>
    <w:rsid w:val="00AB4EBF"/>
    <w:rsid w:val="00AC4041"/>
    <w:rsid w:val="00AD4EC8"/>
    <w:rsid w:val="00AE5B24"/>
    <w:rsid w:val="00B04F32"/>
    <w:rsid w:val="00B06235"/>
    <w:rsid w:val="00B10B85"/>
    <w:rsid w:val="00B11113"/>
    <w:rsid w:val="00B1236E"/>
    <w:rsid w:val="00B1465E"/>
    <w:rsid w:val="00B24DF7"/>
    <w:rsid w:val="00B37ACB"/>
    <w:rsid w:val="00B40A0D"/>
    <w:rsid w:val="00B626AF"/>
    <w:rsid w:val="00B77DB3"/>
    <w:rsid w:val="00BB4A1F"/>
    <w:rsid w:val="00BC1D21"/>
    <w:rsid w:val="00BC6203"/>
    <w:rsid w:val="00BC7AB5"/>
    <w:rsid w:val="00BE4534"/>
    <w:rsid w:val="00BF2548"/>
    <w:rsid w:val="00BF30EA"/>
    <w:rsid w:val="00BF58EE"/>
    <w:rsid w:val="00C065DA"/>
    <w:rsid w:val="00C144B9"/>
    <w:rsid w:val="00C14FAC"/>
    <w:rsid w:val="00C15855"/>
    <w:rsid w:val="00C2568F"/>
    <w:rsid w:val="00C25E04"/>
    <w:rsid w:val="00C3038E"/>
    <w:rsid w:val="00C34296"/>
    <w:rsid w:val="00C34ECD"/>
    <w:rsid w:val="00C904BF"/>
    <w:rsid w:val="00C9681E"/>
    <w:rsid w:val="00C97FE3"/>
    <w:rsid w:val="00CA7CC9"/>
    <w:rsid w:val="00CB4456"/>
    <w:rsid w:val="00CD3C76"/>
    <w:rsid w:val="00CF0AFB"/>
    <w:rsid w:val="00CF24A7"/>
    <w:rsid w:val="00CF29EF"/>
    <w:rsid w:val="00D059A4"/>
    <w:rsid w:val="00D2006C"/>
    <w:rsid w:val="00D311E1"/>
    <w:rsid w:val="00D359CF"/>
    <w:rsid w:val="00D66C29"/>
    <w:rsid w:val="00D80F48"/>
    <w:rsid w:val="00D83228"/>
    <w:rsid w:val="00D85408"/>
    <w:rsid w:val="00D854F4"/>
    <w:rsid w:val="00D91F45"/>
    <w:rsid w:val="00DA2B31"/>
    <w:rsid w:val="00DA2D09"/>
    <w:rsid w:val="00DB0436"/>
    <w:rsid w:val="00DB4790"/>
    <w:rsid w:val="00DC2216"/>
    <w:rsid w:val="00DF1CE4"/>
    <w:rsid w:val="00DF58C5"/>
    <w:rsid w:val="00E0009D"/>
    <w:rsid w:val="00E009BB"/>
    <w:rsid w:val="00E145B8"/>
    <w:rsid w:val="00E169F0"/>
    <w:rsid w:val="00E37E97"/>
    <w:rsid w:val="00E432CF"/>
    <w:rsid w:val="00E57754"/>
    <w:rsid w:val="00E661C7"/>
    <w:rsid w:val="00E83363"/>
    <w:rsid w:val="00E96FDD"/>
    <w:rsid w:val="00EA74E8"/>
    <w:rsid w:val="00EC4F19"/>
    <w:rsid w:val="00ED58D8"/>
    <w:rsid w:val="00EE1A54"/>
    <w:rsid w:val="00EF55CD"/>
    <w:rsid w:val="00F0261F"/>
    <w:rsid w:val="00F22B27"/>
    <w:rsid w:val="00F27087"/>
    <w:rsid w:val="00F4454E"/>
    <w:rsid w:val="00F824AD"/>
    <w:rsid w:val="00F842A2"/>
    <w:rsid w:val="00FA3975"/>
    <w:rsid w:val="00FA6883"/>
    <w:rsid w:val="00FB12AF"/>
    <w:rsid w:val="00FB15A1"/>
    <w:rsid w:val="00FE152C"/>
    <w:rsid w:val="00FE5319"/>
    <w:rsid w:val="00FF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5EFB721-17C1-4C6C-B0C1-EEAFF71E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B9F"/>
  </w:style>
  <w:style w:type="paragraph" w:styleId="Heading1">
    <w:name w:val="heading 1"/>
    <w:basedOn w:val="Normal"/>
    <w:next w:val="Normal"/>
    <w:link w:val="Heading1Char"/>
    <w:uiPriority w:val="9"/>
    <w:qFormat/>
    <w:rsid w:val="00665956"/>
    <w:pPr>
      <w:keepNext/>
      <w:keepLines/>
      <w:spacing w:before="240" w:after="12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7219F2"/>
    <w:pPr>
      <w:keepNext/>
      <w:keepLines/>
      <w:spacing w:before="12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65956"/>
    <w:pPr>
      <w:keepNext/>
      <w:keepLines/>
      <w:spacing w:before="200" w:after="120"/>
      <w:outlineLvl w:val="2"/>
    </w:pPr>
    <w:rPr>
      <w:rFonts w:ascii="Calibri" w:eastAsiaTheme="majorEastAsia" w:hAnsi="Calibri" w:cstheme="majorBidi"/>
      <w:b/>
      <w:bCs/>
      <w:sz w:val="24"/>
    </w:rPr>
  </w:style>
  <w:style w:type="paragraph" w:styleId="Heading4">
    <w:name w:val="heading 4"/>
    <w:basedOn w:val="Normal"/>
    <w:next w:val="Normal"/>
    <w:link w:val="Heading4Char"/>
    <w:uiPriority w:val="9"/>
    <w:unhideWhenUsed/>
    <w:qFormat/>
    <w:rsid w:val="008851A9"/>
    <w:pPr>
      <w:keepNext/>
      <w:keepLines/>
      <w:spacing w:before="12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7219F2"/>
    <w:pPr>
      <w:keepNext/>
      <w:keepLines/>
      <w:spacing w:before="120" w:after="120"/>
      <w:outlineLvl w:val="4"/>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6CC6"/>
    <w:pPr>
      <w:spacing w:after="120" w:line="360" w:lineRule="auto"/>
      <w:contextualSpacing/>
      <w:jc w:val="center"/>
    </w:pPr>
    <w:rPr>
      <w:rFonts w:ascii="Calibri" w:eastAsiaTheme="majorEastAsia" w:hAnsi="Calibri" w:cstheme="majorBidi"/>
      <w:b/>
      <w:color w:val="000000" w:themeColor="text1"/>
      <w:spacing w:val="6"/>
      <w:kern w:val="28"/>
      <w:sz w:val="52"/>
      <w:szCs w:val="52"/>
    </w:rPr>
  </w:style>
  <w:style w:type="character" w:customStyle="1" w:styleId="TitleChar">
    <w:name w:val="Title Char"/>
    <w:basedOn w:val="DefaultParagraphFont"/>
    <w:link w:val="Title"/>
    <w:uiPriority w:val="10"/>
    <w:rsid w:val="00A16CC6"/>
    <w:rPr>
      <w:rFonts w:ascii="Calibri" w:eastAsiaTheme="majorEastAsia" w:hAnsi="Calibri" w:cstheme="majorBidi"/>
      <w:b/>
      <w:color w:val="000000" w:themeColor="text1"/>
      <w:spacing w:val="6"/>
      <w:kern w:val="28"/>
      <w:sz w:val="52"/>
      <w:szCs w:val="52"/>
    </w:rPr>
  </w:style>
  <w:style w:type="paragraph" w:styleId="Footer">
    <w:name w:val="footer"/>
    <w:basedOn w:val="Normal"/>
    <w:link w:val="FooterChar"/>
    <w:uiPriority w:val="99"/>
    <w:unhideWhenUsed/>
    <w:rsid w:val="008A2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FC2"/>
  </w:style>
  <w:style w:type="paragraph" w:styleId="Subtitle">
    <w:name w:val="Subtitle"/>
    <w:basedOn w:val="Normal"/>
    <w:next w:val="Normal"/>
    <w:link w:val="SubtitleChar"/>
    <w:uiPriority w:val="11"/>
    <w:qFormat/>
    <w:rsid w:val="008A2FC2"/>
    <w:pPr>
      <w:numPr>
        <w:ilvl w:val="1"/>
      </w:numPr>
    </w:pPr>
    <w:rPr>
      <w:rFonts w:asciiTheme="majorHAnsi" w:eastAsiaTheme="majorEastAsia" w:hAnsiTheme="majorHAnsi" w:cstheme="majorBidi"/>
      <w:iCs/>
      <w:color w:val="1F497D" w:themeColor="text2"/>
      <w:spacing w:val="15"/>
      <w:sz w:val="52"/>
      <w:szCs w:val="24"/>
    </w:rPr>
  </w:style>
  <w:style w:type="character" w:customStyle="1" w:styleId="SubtitleChar">
    <w:name w:val="Subtitle Char"/>
    <w:basedOn w:val="DefaultParagraphFont"/>
    <w:link w:val="Subtitle"/>
    <w:uiPriority w:val="11"/>
    <w:rsid w:val="008A2FC2"/>
    <w:rPr>
      <w:rFonts w:asciiTheme="majorHAnsi" w:eastAsiaTheme="majorEastAsia" w:hAnsiTheme="majorHAnsi" w:cstheme="majorBidi"/>
      <w:iCs/>
      <w:color w:val="1F497D" w:themeColor="text2"/>
      <w:spacing w:val="15"/>
      <w:sz w:val="52"/>
      <w:szCs w:val="24"/>
    </w:rPr>
  </w:style>
  <w:style w:type="character" w:customStyle="1" w:styleId="Heading2Char">
    <w:name w:val="Heading 2 Char"/>
    <w:basedOn w:val="DefaultParagraphFont"/>
    <w:link w:val="Heading2"/>
    <w:uiPriority w:val="9"/>
    <w:rsid w:val="007219F2"/>
    <w:rPr>
      <w:rFonts w:eastAsiaTheme="majorEastAsia" w:cstheme="majorBidi"/>
      <w:b/>
      <w:bCs/>
      <w:sz w:val="26"/>
      <w:szCs w:val="26"/>
    </w:rPr>
  </w:style>
  <w:style w:type="character" w:customStyle="1" w:styleId="Heading1Char">
    <w:name w:val="Heading 1 Char"/>
    <w:basedOn w:val="DefaultParagraphFont"/>
    <w:link w:val="Heading1"/>
    <w:uiPriority w:val="9"/>
    <w:rsid w:val="00665956"/>
    <w:rPr>
      <w:rFonts w:ascii="Calibri" w:eastAsiaTheme="majorEastAsia" w:hAnsi="Calibri" w:cstheme="majorBidi"/>
      <w:b/>
      <w:bCs/>
      <w:sz w:val="28"/>
      <w:szCs w:val="28"/>
    </w:rPr>
  </w:style>
  <w:style w:type="paragraph" w:styleId="NoSpacing">
    <w:name w:val="No Spacing"/>
    <w:basedOn w:val="Normal"/>
    <w:uiPriority w:val="1"/>
    <w:qFormat/>
    <w:rsid w:val="00B24DF7"/>
    <w:pPr>
      <w:spacing w:after="0" w:line="240" w:lineRule="auto"/>
    </w:pPr>
  </w:style>
  <w:style w:type="paragraph" w:styleId="Header">
    <w:name w:val="header"/>
    <w:basedOn w:val="Normal"/>
    <w:link w:val="HeaderChar"/>
    <w:uiPriority w:val="99"/>
    <w:unhideWhenUsed/>
    <w:rsid w:val="008A2FC2"/>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A2F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FC2"/>
    <w:rPr>
      <w:rFonts w:ascii="Tahoma" w:hAnsi="Tahoma" w:cs="Tahoma"/>
      <w:sz w:val="16"/>
      <w:szCs w:val="16"/>
    </w:rPr>
  </w:style>
  <w:style w:type="paragraph" w:styleId="TOCHeading">
    <w:name w:val="TOC Heading"/>
    <w:basedOn w:val="Heading1"/>
    <w:next w:val="Normal"/>
    <w:uiPriority w:val="39"/>
    <w:semiHidden/>
    <w:unhideWhenUsed/>
    <w:qFormat/>
    <w:rsid w:val="00267122"/>
    <w:pPr>
      <w:spacing w:before="480"/>
      <w:outlineLvl w:val="9"/>
    </w:pPr>
    <w:rPr>
      <w:lang w:eastAsia="ja-JP"/>
    </w:rPr>
  </w:style>
  <w:style w:type="paragraph" w:styleId="TOC1">
    <w:name w:val="toc 1"/>
    <w:basedOn w:val="Normal"/>
    <w:next w:val="Normal"/>
    <w:autoRedefine/>
    <w:uiPriority w:val="39"/>
    <w:unhideWhenUsed/>
    <w:rsid w:val="00267122"/>
    <w:pPr>
      <w:spacing w:after="100"/>
    </w:pPr>
  </w:style>
  <w:style w:type="character" w:styleId="Hyperlink">
    <w:name w:val="Hyperlink"/>
    <w:basedOn w:val="DefaultParagraphFont"/>
    <w:uiPriority w:val="99"/>
    <w:unhideWhenUsed/>
    <w:rsid w:val="00267122"/>
    <w:rPr>
      <w:color w:val="0000FF" w:themeColor="hyperlink"/>
      <w:u w:val="single"/>
    </w:rPr>
  </w:style>
  <w:style w:type="paragraph" w:styleId="ListParagraph">
    <w:name w:val="List Paragraph"/>
    <w:basedOn w:val="Normal"/>
    <w:uiPriority w:val="34"/>
    <w:qFormat/>
    <w:rsid w:val="00114988"/>
    <w:pPr>
      <w:ind w:left="720"/>
      <w:contextualSpacing/>
    </w:pPr>
  </w:style>
  <w:style w:type="paragraph" w:styleId="FootnoteText">
    <w:name w:val="footnote text"/>
    <w:basedOn w:val="Normal"/>
    <w:link w:val="FootnoteTextChar"/>
    <w:uiPriority w:val="99"/>
    <w:semiHidden/>
    <w:unhideWhenUsed/>
    <w:rsid w:val="00114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988"/>
    <w:rPr>
      <w:sz w:val="20"/>
      <w:szCs w:val="20"/>
    </w:rPr>
  </w:style>
  <w:style w:type="character" w:styleId="FootnoteReference">
    <w:name w:val="footnote reference"/>
    <w:basedOn w:val="DefaultParagraphFont"/>
    <w:uiPriority w:val="99"/>
    <w:semiHidden/>
    <w:unhideWhenUsed/>
    <w:rsid w:val="00114988"/>
    <w:rPr>
      <w:vertAlign w:val="superscript"/>
    </w:rPr>
  </w:style>
  <w:style w:type="character" w:styleId="CommentReference">
    <w:name w:val="annotation reference"/>
    <w:basedOn w:val="DefaultParagraphFont"/>
    <w:uiPriority w:val="99"/>
    <w:semiHidden/>
    <w:unhideWhenUsed/>
    <w:rsid w:val="00DF1CE4"/>
    <w:rPr>
      <w:sz w:val="16"/>
      <w:szCs w:val="16"/>
    </w:rPr>
  </w:style>
  <w:style w:type="paragraph" w:styleId="CommentText">
    <w:name w:val="annotation text"/>
    <w:basedOn w:val="Normal"/>
    <w:link w:val="CommentTextChar"/>
    <w:uiPriority w:val="99"/>
    <w:semiHidden/>
    <w:unhideWhenUsed/>
    <w:rsid w:val="00DF1CE4"/>
    <w:pPr>
      <w:spacing w:line="240" w:lineRule="auto"/>
    </w:pPr>
    <w:rPr>
      <w:sz w:val="20"/>
      <w:szCs w:val="20"/>
    </w:rPr>
  </w:style>
  <w:style w:type="character" w:customStyle="1" w:styleId="CommentTextChar">
    <w:name w:val="Comment Text Char"/>
    <w:basedOn w:val="DefaultParagraphFont"/>
    <w:link w:val="CommentText"/>
    <w:uiPriority w:val="99"/>
    <w:semiHidden/>
    <w:rsid w:val="00DF1CE4"/>
    <w:rPr>
      <w:sz w:val="20"/>
      <w:szCs w:val="20"/>
    </w:rPr>
  </w:style>
  <w:style w:type="paragraph" w:styleId="CommentSubject">
    <w:name w:val="annotation subject"/>
    <w:basedOn w:val="CommentText"/>
    <w:next w:val="CommentText"/>
    <w:link w:val="CommentSubjectChar"/>
    <w:uiPriority w:val="99"/>
    <w:semiHidden/>
    <w:unhideWhenUsed/>
    <w:rsid w:val="00DF1CE4"/>
    <w:rPr>
      <w:b/>
      <w:bCs/>
    </w:rPr>
  </w:style>
  <w:style w:type="character" w:customStyle="1" w:styleId="CommentSubjectChar">
    <w:name w:val="Comment Subject Char"/>
    <w:basedOn w:val="CommentTextChar"/>
    <w:link w:val="CommentSubject"/>
    <w:uiPriority w:val="99"/>
    <w:semiHidden/>
    <w:rsid w:val="00DF1CE4"/>
    <w:rPr>
      <w:b/>
      <w:bCs/>
      <w:sz w:val="20"/>
      <w:szCs w:val="20"/>
    </w:rPr>
  </w:style>
  <w:style w:type="character" w:customStyle="1" w:styleId="Heading3Char">
    <w:name w:val="Heading 3 Char"/>
    <w:basedOn w:val="DefaultParagraphFont"/>
    <w:link w:val="Heading3"/>
    <w:uiPriority w:val="9"/>
    <w:rsid w:val="00665956"/>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8851A9"/>
    <w:rPr>
      <w:rFonts w:asciiTheme="majorHAnsi" w:eastAsiaTheme="majorEastAsia" w:hAnsiTheme="majorHAnsi" w:cstheme="majorBidi"/>
      <w:b/>
      <w:bCs/>
      <w:iCs/>
    </w:rPr>
  </w:style>
  <w:style w:type="character" w:styleId="Emphasis">
    <w:name w:val="Emphasis"/>
    <w:basedOn w:val="DefaultParagraphFont"/>
    <w:uiPriority w:val="20"/>
    <w:qFormat/>
    <w:rsid w:val="005B4B87"/>
    <w:rPr>
      <w:i/>
      <w:iCs/>
    </w:rPr>
  </w:style>
  <w:style w:type="character" w:styleId="Strong">
    <w:name w:val="Strong"/>
    <w:basedOn w:val="DefaultParagraphFont"/>
    <w:uiPriority w:val="22"/>
    <w:qFormat/>
    <w:rsid w:val="00CF29EF"/>
    <w:rPr>
      <w:b/>
      <w:bCs/>
    </w:rPr>
  </w:style>
  <w:style w:type="paragraph" w:styleId="TOC3">
    <w:name w:val="toc 3"/>
    <w:basedOn w:val="Normal"/>
    <w:next w:val="Normal"/>
    <w:autoRedefine/>
    <w:uiPriority w:val="39"/>
    <w:unhideWhenUsed/>
    <w:rsid w:val="00CF29EF"/>
    <w:pPr>
      <w:spacing w:after="100"/>
      <w:ind w:left="440"/>
    </w:pPr>
  </w:style>
  <w:style w:type="table" w:styleId="TableGrid">
    <w:name w:val="Table Grid"/>
    <w:basedOn w:val="TableNormal"/>
    <w:uiPriority w:val="59"/>
    <w:rsid w:val="00CF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F24A7"/>
    <w:rPr>
      <w:rFonts w:cs="Times New Roman"/>
    </w:rPr>
  </w:style>
  <w:style w:type="paragraph" w:customStyle="1" w:styleId="Subtitle2">
    <w:name w:val="Subtitle 2"/>
    <w:basedOn w:val="Subtitle"/>
    <w:uiPriority w:val="11"/>
    <w:qFormat/>
    <w:rsid w:val="00A16CC6"/>
    <w:pPr>
      <w:numPr>
        <w:ilvl w:val="0"/>
      </w:numPr>
      <w:spacing w:after="120"/>
      <w:jc w:val="center"/>
    </w:pPr>
    <w:rPr>
      <w:rFonts w:ascii="Calibri" w:eastAsiaTheme="minorHAnsi" w:hAnsi="Calibri" w:cs="Arial"/>
      <w:b/>
      <w:iCs w:val="0"/>
      <w:color w:val="auto"/>
      <w:spacing w:val="0"/>
      <w:sz w:val="32"/>
    </w:rPr>
  </w:style>
  <w:style w:type="paragraph" w:customStyle="1" w:styleId="DataQATable">
    <w:name w:val="DataQA Table"/>
    <w:basedOn w:val="NoSpacing"/>
    <w:qFormat/>
    <w:rsid w:val="00BC1D21"/>
    <w:pPr>
      <w:jc w:val="right"/>
    </w:pPr>
    <w:rPr>
      <w:rFonts w:cs="Times New Roman"/>
      <w:sz w:val="20"/>
      <w:szCs w:val="20"/>
    </w:rPr>
  </w:style>
  <w:style w:type="character" w:customStyle="1" w:styleId="Heading5Char">
    <w:name w:val="Heading 5 Char"/>
    <w:basedOn w:val="DefaultParagraphFont"/>
    <w:link w:val="Heading5"/>
    <w:uiPriority w:val="9"/>
    <w:rsid w:val="007219F2"/>
    <w:rPr>
      <w:rFonts w:asciiTheme="majorHAnsi" w:eastAsiaTheme="majorEastAsia" w:hAnsiTheme="majorHAnsi" w:cstheme="majorBidi"/>
      <w:u w:val="single"/>
    </w:rPr>
  </w:style>
  <w:style w:type="paragraph" w:styleId="TOC2">
    <w:name w:val="toc 2"/>
    <w:basedOn w:val="Normal"/>
    <w:next w:val="Normal"/>
    <w:autoRedefine/>
    <w:uiPriority w:val="39"/>
    <w:unhideWhenUsed/>
    <w:rsid w:val="00660E2E"/>
    <w:pPr>
      <w:spacing w:after="100"/>
      <w:ind w:left="220"/>
    </w:pPr>
  </w:style>
  <w:style w:type="paragraph" w:styleId="Revision">
    <w:name w:val="Revision"/>
    <w:hidden/>
    <w:uiPriority w:val="99"/>
    <w:semiHidden/>
    <w:rsid w:val="003F7F44"/>
    <w:pPr>
      <w:spacing w:after="0" w:line="240" w:lineRule="auto"/>
    </w:pPr>
  </w:style>
  <w:style w:type="table" w:styleId="LightShading">
    <w:name w:val="Light Shading"/>
    <w:basedOn w:val="TableNormal"/>
    <w:uiPriority w:val="60"/>
    <w:rsid w:val="004627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704">
      <w:bodyDiv w:val="1"/>
      <w:marLeft w:val="0"/>
      <w:marRight w:val="0"/>
      <w:marTop w:val="0"/>
      <w:marBottom w:val="0"/>
      <w:divBdr>
        <w:top w:val="none" w:sz="0" w:space="0" w:color="auto"/>
        <w:left w:val="none" w:sz="0" w:space="0" w:color="auto"/>
        <w:bottom w:val="none" w:sz="0" w:space="0" w:color="auto"/>
        <w:right w:val="none" w:sz="0" w:space="0" w:color="auto"/>
      </w:divBdr>
    </w:div>
    <w:div w:id="202794662">
      <w:bodyDiv w:val="1"/>
      <w:marLeft w:val="0"/>
      <w:marRight w:val="0"/>
      <w:marTop w:val="0"/>
      <w:marBottom w:val="0"/>
      <w:divBdr>
        <w:top w:val="none" w:sz="0" w:space="0" w:color="auto"/>
        <w:left w:val="none" w:sz="0" w:space="0" w:color="auto"/>
        <w:bottom w:val="none" w:sz="0" w:space="0" w:color="auto"/>
        <w:right w:val="none" w:sz="0" w:space="0" w:color="auto"/>
      </w:divBdr>
    </w:div>
    <w:div w:id="438457070">
      <w:bodyDiv w:val="1"/>
      <w:marLeft w:val="0"/>
      <w:marRight w:val="0"/>
      <w:marTop w:val="0"/>
      <w:marBottom w:val="0"/>
      <w:divBdr>
        <w:top w:val="none" w:sz="0" w:space="0" w:color="auto"/>
        <w:left w:val="none" w:sz="0" w:space="0" w:color="auto"/>
        <w:bottom w:val="none" w:sz="0" w:space="0" w:color="auto"/>
        <w:right w:val="none" w:sz="0" w:space="0" w:color="auto"/>
      </w:divBdr>
    </w:div>
    <w:div w:id="618757558">
      <w:bodyDiv w:val="1"/>
      <w:marLeft w:val="0"/>
      <w:marRight w:val="0"/>
      <w:marTop w:val="0"/>
      <w:marBottom w:val="0"/>
      <w:divBdr>
        <w:top w:val="none" w:sz="0" w:space="0" w:color="auto"/>
        <w:left w:val="none" w:sz="0" w:space="0" w:color="auto"/>
        <w:bottom w:val="none" w:sz="0" w:space="0" w:color="auto"/>
        <w:right w:val="none" w:sz="0" w:space="0" w:color="auto"/>
      </w:divBdr>
    </w:div>
    <w:div w:id="649361659">
      <w:bodyDiv w:val="1"/>
      <w:marLeft w:val="0"/>
      <w:marRight w:val="0"/>
      <w:marTop w:val="0"/>
      <w:marBottom w:val="0"/>
      <w:divBdr>
        <w:top w:val="none" w:sz="0" w:space="0" w:color="auto"/>
        <w:left w:val="none" w:sz="0" w:space="0" w:color="auto"/>
        <w:bottom w:val="none" w:sz="0" w:space="0" w:color="auto"/>
        <w:right w:val="none" w:sz="0" w:space="0" w:color="auto"/>
      </w:divBdr>
    </w:div>
    <w:div w:id="756753318">
      <w:bodyDiv w:val="1"/>
      <w:marLeft w:val="0"/>
      <w:marRight w:val="0"/>
      <w:marTop w:val="0"/>
      <w:marBottom w:val="0"/>
      <w:divBdr>
        <w:top w:val="none" w:sz="0" w:space="0" w:color="auto"/>
        <w:left w:val="none" w:sz="0" w:space="0" w:color="auto"/>
        <w:bottom w:val="none" w:sz="0" w:space="0" w:color="auto"/>
        <w:right w:val="none" w:sz="0" w:space="0" w:color="auto"/>
      </w:divBdr>
    </w:div>
    <w:div w:id="831406733">
      <w:bodyDiv w:val="1"/>
      <w:marLeft w:val="0"/>
      <w:marRight w:val="0"/>
      <w:marTop w:val="0"/>
      <w:marBottom w:val="0"/>
      <w:divBdr>
        <w:top w:val="none" w:sz="0" w:space="0" w:color="auto"/>
        <w:left w:val="none" w:sz="0" w:space="0" w:color="auto"/>
        <w:bottom w:val="none" w:sz="0" w:space="0" w:color="auto"/>
        <w:right w:val="none" w:sz="0" w:space="0" w:color="auto"/>
      </w:divBdr>
    </w:div>
    <w:div w:id="920991702">
      <w:bodyDiv w:val="1"/>
      <w:marLeft w:val="0"/>
      <w:marRight w:val="0"/>
      <w:marTop w:val="0"/>
      <w:marBottom w:val="0"/>
      <w:divBdr>
        <w:top w:val="none" w:sz="0" w:space="0" w:color="auto"/>
        <w:left w:val="none" w:sz="0" w:space="0" w:color="auto"/>
        <w:bottom w:val="none" w:sz="0" w:space="0" w:color="auto"/>
        <w:right w:val="none" w:sz="0" w:space="0" w:color="auto"/>
      </w:divBdr>
    </w:div>
    <w:div w:id="935018733">
      <w:bodyDiv w:val="1"/>
      <w:marLeft w:val="120"/>
      <w:marRight w:val="120"/>
      <w:marTop w:val="0"/>
      <w:marBottom w:val="0"/>
      <w:divBdr>
        <w:top w:val="none" w:sz="0" w:space="0" w:color="auto"/>
        <w:left w:val="none" w:sz="0" w:space="0" w:color="auto"/>
        <w:bottom w:val="none" w:sz="0" w:space="0" w:color="auto"/>
        <w:right w:val="none" w:sz="0" w:space="0" w:color="auto"/>
      </w:divBdr>
      <w:divsChild>
        <w:div w:id="147552726">
          <w:marLeft w:val="0"/>
          <w:marRight w:val="0"/>
          <w:marTop w:val="0"/>
          <w:marBottom w:val="0"/>
          <w:divBdr>
            <w:top w:val="none" w:sz="0" w:space="0" w:color="auto"/>
            <w:left w:val="none" w:sz="0" w:space="0" w:color="auto"/>
            <w:bottom w:val="none" w:sz="0" w:space="0" w:color="auto"/>
            <w:right w:val="none" w:sz="0" w:space="0" w:color="auto"/>
          </w:divBdr>
          <w:divsChild>
            <w:div w:id="12056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7751">
      <w:bodyDiv w:val="1"/>
      <w:marLeft w:val="0"/>
      <w:marRight w:val="0"/>
      <w:marTop w:val="0"/>
      <w:marBottom w:val="0"/>
      <w:divBdr>
        <w:top w:val="none" w:sz="0" w:space="0" w:color="auto"/>
        <w:left w:val="none" w:sz="0" w:space="0" w:color="auto"/>
        <w:bottom w:val="none" w:sz="0" w:space="0" w:color="auto"/>
        <w:right w:val="none" w:sz="0" w:space="0" w:color="auto"/>
      </w:divBdr>
    </w:div>
    <w:div w:id="1479684245">
      <w:bodyDiv w:val="1"/>
      <w:marLeft w:val="0"/>
      <w:marRight w:val="0"/>
      <w:marTop w:val="0"/>
      <w:marBottom w:val="0"/>
      <w:divBdr>
        <w:top w:val="none" w:sz="0" w:space="0" w:color="auto"/>
        <w:left w:val="none" w:sz="0" w:space="0" w:color="auto"/>
        <w:bottom w:val="none" w:sz="0" w:space="0" w:color="auto"/>
        <w:right w:val="none" w:sz="0" w:space="0" w:color="auto"/>
      </w:divBdr>
    </w:div>
    <w:div w:id="1601600473">
      <w:bodyDiv w:val="1"/>
      <w:marLeft w:val="0"/>
      <w:marRight w:val="0"/>
      <w:marTop w:val="0"/>
      <w:marBottom w:val="0"/>
      <w:divBdr>
        <w:top w:val="none" w:sz="0" w:space="0" w:color="auto"/>
        <w:left w:val="none" w:sz="0" w:space="0" w:color="auto"/>
        <w:bottom w:val="none" w:sz="0" w:space="0" w:color="auto"/>
        <w:right w:val="none" w:sz="0" w:space="0" w:color="auto"/>
      </w:divBdr>
    </w:div>
    <w:div w:id="1607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HH Internet Page" ma:contentTypeID="0x010100C568DB52D9D0A14D9B2FDCC96666E9F2007948130EC3DB064584E219954237AF390064DEA0F50FC8C147B0B6EA0636C4A7D40091D93D3A3C99514781B979AD8F860E9F00BE82889BE1BDD848B726159F5C60437E" ma:contentTypeVersion="4" ma:contentTypeDescription="Use this content type for HH Internet Pages" ma:contentTypeScope="" ma:versionID="9276fe12368026e8777a6a1d15c64c24">
  <xsd:schema xmlns:xsd="http://www.w3.org/2001/XMLSchema" xmlns:xs="http://www.w3.org/2001/XMLSchema" xmlns:p="http://schemas.microsoft.com/office/2006/metadata/properties" xmlns:ns1="http://schemas.microsoft.com/sharepoint/v3" xmlns:ns2="15fed199-785c-41dd-80c4-b4119d809082" targetNamespace="http://schemas.microsoft.com/office/2006/metadata/properties" ma:root="true" ma:fieldsID="8047f53ef6ede3b09b52281f86f5955a" ns1:_="" ns2:_="">
    <xsd:import namespace="http://schemas.microsoft.com/sharepoint/v3"/>
    <xsd:import namespace="15fed199-785c-41dd-80c4-b4119d809082"/>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SummaryLinks2" minOccurs="0"/>
                <xsd:element ref="ns1:SeoBrowserTitle" minOccurs="0"/>
                <xsd:element ref="ns1:SeoMetaDescription" minOccurs="0"/>
                <xsd:element ref="ns1:SeoKeywords" minOccurs="0"/>
                <xsd:element ref="ns1:SeoRobotsNoIndex" minOccurs="0"/>
                <xsd:element ref="ns2:n0ad17990ad2453a88de36febbeb5246" minOccurs="0"/>
                <xsd:element ref="ns2:TaxCatchAll" minOccurs="0"/>
                <xsd:element ref="ns2:TaxCatchAllLabel" minOccurs="0"/>
                <xsd:element ref="ns2:j0297349de644f78885f8b6d038b01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SummaryLinks2" ma:index="24" nillable="true" ma:displayName="Summary Links 2" ma:description="Summary Links 2 is a site column created by the Publishing feature. It is used on the Welcome Page Content Type to display a second set of links." ma:internalName="SummaryLinks2">
      <xsd:simpleType>
        <xsd:restriction base="dms:Unknown"/>
      </xsd:simpleType>
    </xsd:element>
    <xsd:element name="SeoBrowserTitle" ma:index="25"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6"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7" nillable="true" ma:displayName="Meta Keywords" ma:description="Meta Keywords" ma:hidden="true" ma:internalName="SeoKeywords">
      <xsd:simpleType>
        <xsd:restriction base="dms:Text"/>
      </xsd:simpleType>
    </xsd:element>
    <xsd:element name="SeoRobotsNoIndex" ma:index="28"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fed199-785c-41dd-80c4-b4119d809082" elementFormDefault="qualified">
    <xsd:import namespace="http://schemas.microsoft.com/office/2006/documentManagement/types"/>
    <xsd:import namespace="http://schemas.microsoft.com/office/infopath/2007/PartnerControls"/>
    <xsd:element name="n0ad17990ad2453a88de36febbeb5246" ma:index="29" nillable="true" ma:taxonomy="true" ma:internalName="n0ad17990ad2453a88de36febbeb5246" ma:taxonomyFieldName="Content_x0020_Category" ma:displayName="Content Category" ma:default="" ma:fieldId="{70ad1799-0ad2-453a-88de-36febbeb5246}" ma:sspId="83025100-e092-4eee-b8f9-de1558fda12b" ma:termSetId="45bfa73c-3066-4496-84b5-9f18580c3984"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2fbeeb42-babd-4756-ab38-55319f2cea4e}" ma:internalName="TaxCatchAll" ma:showField="CatchAllData" ma:web="26bf5321-1145-4024-8fe4-7684367eb814">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2fbeeb42-babd-4756-ab38-55319f2cea4e}" ma:internalName="TaxCatchAllLabel" ma:readOnly="true" ma:showField="CatchAllDataLabel" ma:web="26bf5321-1145-4024-8fe4-7684367eb814">
      <xsd:complexType>
        <xsd:complexContent>
          <xsd:extension base="dms:MultiChoiceLookup">
            <xsd:sequence>
              <xsd:element name="Value" type="dms:Lookup" maxOccurs="unbounded" minOccurs="0" nillable="true"/>
            </xsd:sequence>
          </xsd:extension>
        </xsd:complexContent>
      </xsd:complexType>
    </xsd:element>
    <xsd:element name="j0297349de644f78885f8b6d038b0176" ma:index="33" nillable="true" ma:taxonomy="true" ma:internalName="j0297349de644f78885f8b6d038b0176" ma:taxonomyFieldName="Topic" ma:displayName="Content Topic" ma:default="" ma:fieldId="{30297349-de64-4f78-885f-8b6d038b0176}" ma:sspId="83025100-e092-4eee-b8f9-de1558fda12b" ma:termSetId="e168c475-9642-4e66-817f-8e041aab0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3025100-e092-4eee-b8f9-de1558fda12b" ContentTypeId="0x010100C568DB52D9D0A14D9B2FDCC96666E9F2007948130EC3DB064584E219954237AF390064DEA0F50FC8C147B0B6EA0636C4A7D40091D93D3A3C99514781B979AD8F860E9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0297349de644f78885f8b6d038b0176 xmlns="15fed199-785c-41dd-80c4-b4119d809082">
      <Terms xmlns="http://schemas.microsoft.com/office/infopath/2007/PartnerControls"/>
    </j0297349de644f78885f8b6d038b0176>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SummaryLinks2 xmlns="http://schemas.microsoft.com/sharepoint/v3" xsi:nil="true"/>
    <Audience xmlns="http://schemas.microsoft.com/sharepoint/v3" xsi:nil="true"/>
    <PublishingIsFurlPage xmlns="http://schemas.microsoft.com/sharepoint/v3" xsi:nil="true"/>
    <PublishingPageImage xmlns="http://schemas.microsoft.com/sharepoint/v3" xsi:nil="true"/>
    <SummaryLinks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n0ad17990ad2453a88de36febbeb5246 xmlns="15fed199-785c-41dd-80c4-b4119d809082">
      <Terms xmlns="http://schemas.microsoft.com/office/infopath/2007/PartnerControls"/>
    </n0ad17990ad2453a88de36febbeb5246>
    <TaxCatchAll xmlns="15fed199-785c-41dd-80c4-b4119d809082"/>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5AF37419-E839-4BB1-8193-1A236CCB93C6}"/>
</file>

<file path=customXml/itemProps2.xml><?xml version="1.0" encoding="utf-8"?>
<ds:datastoreItem xmlns:ds="http://schemas.openxmlformats.org/officeDocument/2006/customXml" ds:itemID="{9E42A768-5F73-4B21-A575-21F5377DC08D}"/>
</file>

<file path=customXml/itemProps3.xml><?xml version="1.0" encoding="utf-8"?>
<ds:datastoreItem xmlns:ds="http://schemas.openxmlformats.org/officeDocument/2006/customXml" ds:itemID="{821320E0-ECEA-4B10-8868-1EF3C460FD70}"/>
</file>

<file path=customXml/itemProps4.xml><?xml version="1.0" encoding="utf-8"?>
<ds:datastoreItem xmlns:ds="http://schemas.openxmlformats.org/officeDocument/2006/customXml" ds:itemID="{2CAB7622-BE16-4754-8108-58B63A78C5F5}"/>
</file>

<file path=customXml/itemProps5.xml><?xml version="1.0" encoding="utf-8"?>
<ds:datastoreItem xmlns:ds="http://schemas.openxmlformats.org/officeDocument/2006/customXml" ds:itemID="{5BBABDE3-C905-4800-94C3-88778DD6AFC4}"/>
</file>

<file path=docProps/app.xml><?xml version="1.0" encoding="utf-8"?>
<Properties xmlns="http://schemas.openxmlformats.org/officeDocument/2006/extended-properties" xmlns:vt="http://schemas.openxmlformats.org/officeDocument/2006/docPropsVTypes">
  <Template>Normal.dotm</Template>
  <TotalTime>1461</TotalTime>
  <Pages>9</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Sanders</dc:creator>
  <cp:lastModifiedBy>ligy855</cp:lastModifiedBy>
  <cp:revision>11</cp:revision>
  <cp:lastPrinted>2014-04-15T16:58:00Z</cp:lastPrinted>
  <dcterms:created xsi:type="dcterms:W3CDTF">2015-03-06T17:45:00Z</dcterms:created>
  <dcterms:modified xsi:type="dcterms:W3CDTF">2016-03-21T17:25:00Z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0x010104007746B344426FF34E9F9132BF10B1DBD8</vt:lpwstr>
  </property>
  <property fmtid="{D5CDD505-2E9C-101B-9397-08002B2CF9AE}" pid="3" name="Content Category">
    <vt:lpwstr/>
  </property>
  <property fmtid="{D5CDD505-2E9C-101B-9397-08002B2CF9AE}" pid="4" name="Topic">
    <vt:lpwstr/>
  </property>
  <property fmtid="{D5CDD505-2E9C-101B-9397-08002B2CF9AE}" pid="5" name="Order">
    <vt:r8>95800</vt:r8>
  </property>
</Properties>
</file>