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CF" w:rsidRDefault="00D359CF" w:rsidP="00D359CF">
      <w:pPr>
        <w:jc w:val="center"/>
      </w:pPr>
    </w:p>
    <w:p w:rsidR="00C41498" w:rsidRPr="00A16CC6" w:rsidRDefault="00C41498" w:rsidP="00C41498">
      <w:pPr>
        <w:pStyle w:val="Title"/>
      </w:pPr>
      <w:r>
        <w:t xml:space="preserve">DSRIP </w:t>
      </w:r>
      <w:r w:rsidRPr="00A16CC6">
        <w:t>Provider Reporting</w:t>
      </w:r>
    </w:p>
    <w:p w:rsidR="00C41498" w:rsidRDefault="00C41498" w:rsidP="00C41498">
      <w:pPr>
        <w:pStyle w:val="Title"/>
      </w:pPr>
      <w:r w:rsidRPr="00A16CC6">
        <w:t xml:space="preserve">Potentially Preventable </w:t>
      </w:r>
      <w:r>
        <w:t>Rea</w:t>
      </w:r>
      <w:r w:rsidRPr="00A16CC6">
        <w:t>dmissions</w:t>
      </w:r>
    </w:p>
    <w:p w:rsidR="00C41498" w:rsidRPr="00A16CC6" w:rsidRDefault="00C41498" w:rsidP="00C41498">
      <w:pPr>
        <w:pStyle w:val="Subtitle2"/>
      </w:pPr>
      <w:r w:rsidRPr="00A16CC6">
        <w:t>Technical Notes</w:t>
      </w:r>
    </w:p>
    <w:p w:rsidR="00C41498" w:rsidRPr="002B0B9F" w:rsidRDefault="00C41498" w:rsidP="00C41498">
      <w:pPr>
        <w:rPr>
          <w:highlight w:val="yellow"/>
        </w:rPr>
      </w:pPr>
    </w:p>
    <w:p w:rsidR="00C41498" w:rsidRPr="00A16CC6" w:rsidRDefault="00C41498" w:rsidP="00C41498">
      <w:pPr>
        <w:pStyle w:val="Subtitle2"/>
      </w:pPr>
      <w:r>
        <w:t xml:space="preserve">Patient Population: Texas Medicaid and CHIP </w:t>
      </w:r>
    </w:p>
    <w:p w:rsidR="00C41498" w:rsidRPr="00222F72" w:rsidRDefault="00C41498" w:rsidP="00C41498">
      <w:pPr>
        <w:pStyle w:val="Subtitle2"/>
      </w:pPr>
      <w:r>
        <w:t>Measurement Year: Calendar Year 2014</w:t>
      </w:r>
    </w:p>
    <w:p w:rsidR="00C41498" w:rsidRDefault="00C41498" w:rsidP="00C41498">
      <w:pPr>
        <w:spacing w:after="120"/>
        <w:rPr>
          <w:rFonts w:cs="Arial"/>
          <w:b/>
        </w:rPr>
      </w:pPr>
    </w:p>
    <w:p w:rsidR="00C41498" w:rsidRDefault="00C41498" w:rsidP="00C41498">
      <w:pPr>
        <w:spacing w:after="120"/>
        <w:rPr>
          <w:rFonts w:cs="Arial"/>
          <w:b/>
        </w:rPr>
      </w:pPr>
    </w:p>
    <w:p w:rsidR="00C41498" w:rsidRPr="00222F72" w:rsidRDefault="00C41498" w:rsidP="00C41498">
      <w:pPr>
        <w:spacing w:after="120"/>
        <w:rPr>
          <w:rFonts w:cs="Arial"/>
          <w:b/>
        </w:rPr>
      </w:pPr>
    </w:p>
    <w:p w:rsidR="00C41498" w:rsidRPr="00222F72" w:rsidRDefault="00C41498" w:rsidP="00C41498">
      <w:pPr>
        <w:spacing w:after="120"/>
        <w:jc w:val="center"/>
        <w:rPr>
          <w:rFonts w:cs="Arial"/>
          <w:b/>
        </w:rPr>
      </w:pPr>
      <w:r w:rsidRPr="00222F72">
        <w:rPr>
          <w:rFonts w:cs="Arial"/>
          <w:b/>
        </w:rPr>
        <w:t>The Institute for Child Health Policy</w:t>
      </w:r>
    </w:p>
    <w:p w:rsidR="00C41498" w:rsidRPr="00222F72" w:rsidRDefault="00C41498" w:rsidP="00C41498">
      <w:pPr>
        <w:spacing w:after="120"/>
        <w:jc w:val="center"/>
        <w:rPr>
          <w:rFonts w:cs="Arial"/>
          <w:b/>
        </w:rPr>
      </w:pPr>
      <w:r w:rsidRPr="00222F72">
        <w:rPr>
          <w:rFonts w:cs="Arial"/>
          <w:b/>
        </w:rPr>
        <w:t>University of Florida</w:t>
      </w:r>
    </w:p>
    <w:p w:rsidR="00C41498" w:rsidRDefault="00C41498" w:rsidP="00C41498">
      <w:pPr>
        <w:spacing w:after="120"/>
        <w:jc w:val="center"/>
        <w:rPr>
          <w:rFonts w:cs="Arial"/>
          <w:b/>
        </w:rPr>
      </w:pPr>
    </w:p>
    <w:p w:rsidR="00C41498" w:rsidRPr="00222F72" w:rsidRDefault="00C41498" w:rsidP="00C41498">
      <w:pPr>
        <w:spacing w:after="120"/>
        <w:jc w:val="center"/>
        <w:rPr>
          <w:rFonts w:cs="Arial"/>
          <w:b/>
        </w:rPr>
      </w:pPr>
    </w:p>
    <w:p w:rsidR="00C41498" w:rsidRPr="00222F72" w:rsidRDefault="00C41498" w:rsidP="00C41498">
      <w:pPr>
        <w:spacing w:after="120"/>
        <w:jc w:val="center"/>
        <w:rPr>
          <w:rFonts w:cs="Arial"/>
          <w:b/>
        </w:rPr>
      </w:pPr>
      <w:r w:rsidRPr="00222F72">
        <w:rPr>
          <w:rFonts w:cs="Arial"/>
          <w:b/>
        </w:rPr>
        <w:t>The External Quality Review Organization</w:t>
      </w:r>
    </w:p>
    <w:p w:rsidR="00C41498" w:rsidRDefault="00C41498" w:rsidP="00C41498">
      <w:pPr>
        <w:spacing w:after="120"/>
        <w:jc w:val="center"/>
        <w:rPr>
          <w:rFonts w:cs="Arial"/>
          <w:b/>
        </w:rPr>
      </w:pPr>
      <w:r w:rsidRPr="00222F72">
        <w:rPr>
          <w:rFonts w:cs="Arial"/>
          <w:b/>
        </w:rPr>
        <w:t>for Texas Medicaid Managed Care and CHIP</w:t>
      </w:r>
    </w:p>
    <w:p w:rsidR="00C41498" w:rsidRDefault="00C41498" w:rsidP="00C41498">
      <w:pPr>
        <w:spacing w:after="120"/>
        <w:jc w:val="center"/>
        <w:rPr>
          <w:rFonts w:cs="Arial"/>
          <w:b/>
        </w:rPr>
      </w:pPr>
    </w:p>
    <w:p w:rsidR="00C41498" w:rsidRDefault="00C41498" w:rsidP="00C41498">
      <w:pPr>
        <w:spacing w:after="120"/>
        <w:jc w:val="center"/>
        <w:rPr>
          <w:rFonts w:cs="Arial"/>
          <w:b/>
        </w:rPr>
      </w:pPr>
    </w:p>
    <w:p w:rsidR="00C41498" w:rsidRPr="00D66C29" w:rsidRDefault="00E45EDB" w:rsidP="00C41498">
      <w:pPr>
        <w:spacing w:after="120"/>
        <w:jc w:val="center"/>
        <w:rPr>
          <w:rFonts w:cs="Arial"/>
        </w:rPr>
      </w:pPr>
      <w:r>
        <w:rPr>
          <w:rFonts w:cs="Arial"/>
        </w:rPr>
        <w:t>Issue Date: March 21</w:t>
      </w:r>
      <w:r w:rsidR="00C41498" w:rsidRPr="00D66C29">
        <w:rPr>
          <w:rFonts w:cs="Arial"/>
        </w:rPr>
        <w:t>, 2016</w:t>
      </w:r>
    </w:p>
    <w:p w:rsidR="00C144B9" w:rsidRPr="00D359CF" w:rsidRDefault="00C144B9" w:rsidP="00111541">
      <w:pPr>
        <w:spacing w:after="120"/>
        <w:jc w:val="center"/>
        <w:rPr>
          <w:rFonts w:ascii="Arial" w:hAnsi="Arial" w:cs="Arial"/>
          <w:b/>
        </w:rPr>
      </w:pPr>
    </w:p>
    <w:p w:rsidR="00C144B9" w:rsidRPr="00D359CF" w:rsidRDefault="00C144B9" w:rsidP="00111541">
      <w:pPr>
        <w:spacing w:after="120"/>
        <w:jc w:val="center"/>
        <w:rPr>
          <w:rFonts w:ascii="Arial" w:hAnsi="Arial" w:cs="Arial"/>
          <w:b/>
        </w:rPr>
      </w:pPr>
    </w:p>
    <w:p w:rsidR="00267122" w:rsidRPr="00631C9A" w:rsidRDefault="00267122" w:rsidP="00267122">
      <w:pPr>
        <w:sectPr w:rsidR="00267122" w:rsidRPr="00631C9A" w:rsidSect="00C144B9">
          <w:headerReference w:type="default" r:id="rId8"/>
          <w:footerReference w:type="default" r:id="rId9"/>
          <w:pgSz w:w="12240" w:h="15840"/>
          <w:pgMar w:top="1440" w:right="1440" w:bottom="1440" w:left="1440" w:header="720" w:footer="720" w:gutter="0"/>
          <w:pgNumType w:fmt="lowerRoman"/>
          <w:cols w:space="720"/>
          <w:docGrid w:linePitch="360"/>
        </w:sectPr>
      </w:pPr>
    </w:p>
    <w:sdt>
      <w:sdtPr>
        <w:rPr>
          <w:rFonts w:asciiTheme="minorHAnsi" w:eastAsiaTheme="minorHAnsi" w:hAnsiTheme="minorHAnsi" w:cstheme="minorBidi"/>
          <w:b w:val="0"/>
          <w:bCs w:val="0"/>
          <w:sz w:val="22"/>
          <w:szCs w:val="22"/>
          <w:lang w:eastAsia="en-US"/>
        </w:rPr>
        <w:id w:val="12496770"/>
        <w:docPartObj>
          <w:docPartGallery w:val="Table of Contents"/>
          <w:docPartUnique/>
        </w:docPartObj>
      </w:sdtPr>
      <w:sdtEndPr>
        <w:rPr>
          <w:noProof/>
        </w:rPr>
      </w:sdtEndPr>
      <w:sdtContent>
        <w:p w:rsidR="00267122" w:rsidRPr="00631C9A" w:rsidRDefault="00267122" w:rsidP="004D1BE4">
          <w:pPr>
            <w:pStyle w:val="TOCHeading"/>
            <w:spacing w:before="0"/>
          </w:pPr>
          <w:r w:rsidRPr="00631C9A">
            <w:t>Table of Contents</w:t>
          </w:r>
        </w:p>
        <w:p w:rsidR="00E45EDB" w:rsidRDefault="0051725C">
          <w:pPr>
            <w:pStyle w:val="TOC1"/>
            <w:tabs>
              <w:tab w:val="right" w:leader="dot" w:pos="9350"/>
            </w:tabs>
            <w:rPr>
              <w:rFonts w:eastAsiaTheme="minorEastAsia"/>
              <w:noProof/>
            </w:rPr>
          </w:pPr>
          <w:r w:rsidRPr="00631C9A">
            <w:fldChar w:fldCharType="begin"/>
          </w:r>
          <w:r w:rsidR="00267122" w:rsidRPr="00631C9A">
            <w:instrText xml:space="preserve"> TOC \o "1-3" \h \z \u </w:instrText>
          </w:r>
          <w:r w:rsidRPr="00631C9A">
            <w:fldChar w:fldCharType="separate"/>
          </w:r>
          <w:hyperlink w:anchor="_Toc446329873" w:history="1">
            <w:r w:rsidR="00E45EDB" w:rsidRPr="009C21A0">
              <w:rPr>
                <w:rStyle w:val="Hyperlink"/>
                <w:noProof/>
              </w:rPr>
              <w:t>Section 1. Introduction</w:t>
            </w:r>
            <w:r w:rsidR="00E45EDB">
              <w:rPr>
                <w:noProof/>
                <w:webHidden/>
              </w:rPr>
              <w:tab/>
            </w:r>
            <w:r w:rsidR="00E45EDB">
              <w:rPr>
                <w:noProof/>
                <w:webHidden/>
              </w:rPr>
              <w:fldChar w:fldCharType="begin"/>
            </w:r>
            <w:r w:rsidR="00E45EDB">
              <w:rPr>
                <w:noProof/>
                <w:webHidden/>
              </w:rPr>
              <w:instrText xml:space="preserve"> PAGEREF _Toc446329873 \h </w:instrText>
            </w:r>
            <w:r w:rsidR="00E45EDB">
              <w:rPr>
                <w:noProof/>
                <w:webHidden/>
              </w:rPr>
            </w:r>
            <w:r w:rsidR="00E45EDB">
              <w:rPr>
                <w:noProof/>
                <w:webHidden/>
              </w:rPr>
              <w:fldChar w:fldCharType="separate"/>
            </w:r>
            <w:r w:rsidR="00E45EDB">
              <w:rPr>
                <w:noProof/>
                <w:webHidden/>
              </w:rPr>
              <w:t>1</w:t>
            </w:r>
            <w:r w:rsidR="00E45EDB">
              <w:rPr>
                <w:noProof/>
                <w:webHidden/>
              </w:rPr>
              <w:fldChar w:fldCharType="end"/>
            </w:r>
          </w:hyperlink>
        </w:p>
        <w:p w:rsidR="00E45EDB" w:rsidRDefault="00E45EDB">
          <w:pPr>
            <w:pStyle w:val="TOC1"/>
            <w:tabs>
              <w:tab w:val="right" w:leader="dot" w:pos="9350"/>
            </w:tabs>
            <w:rPr>
              <w:rFonts w:eastAsiaTheme="minorEastAsia"/>
              <w:noProof/>
            </w:rPr>
          </w:pPr>
          <w:hyperlink w:anchor="_Toc446329874" w:history="1">
            <w:r w:rsidRPr="009C21A0">
              <w:rPr>
                <w:rStyle w:val="Hyperlink"/>
                <w:noProof/>
              </w:rPr>
              <w:t>Section 2. Data Inclusion</w:t>
            </w:r>
            <w:r>
              <w:rPr>
                <w:noProof/>
                <w:webHidden/>
              </w:rPr>
              <w:tab/>
            </w:r>
            <w:r>
              <w:rPr>
                <w:noProof/>
                <w:webHidden/>
              </w:rPr>
              <w:fldChar w:fldCharType="begin"/>
            </w:r>
            <w:r>
              <w:rPr>
                <w:noProof/>
                <w:webHidden/>
              </w:rPr>
              <w:instrText xml:space="preserve"> PAGEREF _Toc446329874 \h </w:instrText>
            </w:r>
            <w:r>
              <w:rPr>
                <w:noProof/>
                <w:webHidden/>
              </w:rPr>
            </w:r>
            <w:r>
              <w:rPr>
                <w:noProof/>
                <w:webHidden/>
              </w:rPr>
              <w:fldChar w:fldCharType="separate"/>
            </w:r>
            <w:r>
              <w:rPr>
                <w:noProof/>
                <w:webHidden/>
              </w:rPr>
              <w:t>1</w:t>
            </w:r>
            <w:r>
              <w:rPr>
                <w:noProof/>
                <w:webHidden/>
              </w:rPr>
              <w:fldChar w:fldCharType="end"/>
            </w:r>
          </w:hyperlink>
        </w:p>
        <w:p w:rsidR="00E45EDB" w:rsidRDefault="00E45EDB">
          <w:pPr>
            <w:pStyle w:val="TOC1"/>
            <w:tabs>
              <w:tab w:val="right" w:leader="dot" w:pos="9350"/>
            </w:tabs>
            <w:rPr>
              <w:rFonts w:eastAsiaTheme="minorEastAsia"/>
              <w:noProof/>
            </w:rPr>
          </w:pPr>
          <w:hyperlink w:anchor="_Toc446329875" w:history="1">
            <w:r w:rsidRPr="009C21A0">
              <w:rPr>
                <w:rStyle w:val="Hyperlink"/>
                <w:noProof/>
              </w:rPr>
              <w:t>Section 3.  PPR Logic and Calculation of Weights and Expenditures for Facilities</w:t>
            </w:r>
            <w:r>
              <w:rPr>
                <w:noProof/>
                <w:webHidden/>
              </w:rPr>
              <w:tab/>
            </w:r>
            <w:r>
              <w:rPr>
                <w:noProof/>
                <w:webHidden/>
              </w:rPr>
              <w:fldChar w:fldCharType="begin"/>
            </w:r>
            <w:r>
              <w:rPr>
                <w:noProof/>
                <w:webHidden/>
              </w:rPr>
              <w:instrText xml:space="preserve"> PAGEREF _Toc446329875 \h </w:instrText>
            </w:r>
            <w:r>
              <w:rPr>
                <w:noProof/>
                <w:webHidden/>
              </w:rPr>
            </w:r>
            <w:r>
              <w:rPr>
                <w:noProof/>
                <w:webHidden/>
              </w:rPr>
              <w:fldChar w:fldCharType="separate"/>
            </w:r>
            <w:r>
              <w:rPr>
                <w:noProof/>
                <w:webHidden/>
              </w:rPr>
              <w:t>1</w:t>
            </w:r>
            <w:r>
              <w:rPr>
                <w:noProof/>
                <w:webHidden/>
              </w:rPr>
              <w:fldChar w:fldCharType="end"/>
            </w:r>
          </w:hyperlink>
        </w:p>
        <w:p w:rsidR="00E45EDB" w:rsidRDefault="00E45EDB">
          <w:pPr>
            <w:pStyle w:val="TOC1"/>
            <w:tabs>
              <w:tab w:val="right" w:leader="dot" w:pos="9350"/>
            </w:tabs>
            <w:rPr>
              <w:rFonts w:eastAsiaTheme="minorEastAsia"/>
              <w:noProof/>
            </w:rPr>
          </w:pPr>
          <w:hyperlink w:anchor="_Toc446329876" w:history="1">
            <w:r w:rsidRPr="009C21A0">
              <w:rPr>
                <w:rStyle w:val="Hyperlink"/>
                <w:noProof/>
              </w:rPr>
              <w:t>Section 4. Guide to the PPR Facility Report</w:t>
            </w:r>
            <w:r>
              <w:rPr>
                <w:noProof/>
                <w:webHidden/>
              </w:rPr>
              <w:tab/>
            </w:r>
            <w:r>
              <w:rPr>
                <w:noProof/>
                <w:webHidden/>
              </w:rPr>
              <w:fldChar w:fldCharType="begin"/>
            </w:r>
            <w:r>
              <w:rPr>
                <w:noProof/>
                <w:webHidden/>
              </w:rPr>
              <w:instrText xml:space="preserve"> PAGEREF _Toc446329876 \h </w:instrText>
            </w:r>
            <w:r>
              <w:rPr>
                <w:noProof/>
                <w:webHidden/>
              </w:rPr>
            </w:r>
            <w:r>
              <w:rPr>
                <w:noProof/>
                <w:webHidden/>
              </w:rPr>
              <w:fldChar w:fldCharType="separate"/>
            </w:r>
            <w:r>
              <w:rPr>
                <w:noProof/>
                <w:webHidden/>
              </w:rPr>
              <w:t>3</w:t>
            </w:r>
            <w:r>
              <w:rPr>
                <w:noProof/>
                <w:webHidden/>
              </w:rPr>
              <w:fldChar w:fldCharType="end"/>
            </w:r>
          </w:hyperlink>
        </w:p>
        <w:p w:rsidR="00E45EDB" w:rsidRDefault="00E45EDB">
          <w:pPr>
            <w:pStyle w:val="TOC3"/>
            <w:tabs>
              <w:tab w:val="right" w:leader="dot" w:pos="9350"/>
            </w:tabs>
            <w:rPr>
              <w:rFonts w:eastAsiaTheme="minorEastAsia"/>
              <w:noProof/>
            </w:rPr>
          </w:pPr>
          <w:hyperlink w:anchor="_Toc446329877" w:history="1">
            <w:r w:rsidRPr="009C21A0">
              <w:rPr>
                <w:rStyle w:val="Hyperlink"/>
                <w:noProof/>
              </w:rPr>
              <w:t>PPR Expenditures (Provider Results)</w:t>
            </w:r>
            <w:r>
              <w:rPr>
                <w:noProof/>
                <w:webHidden/>
              </w:rPr>
              <w:tab/>
            </w:r>
            <w:r>
              <w:rPr>
                <w:noProof/>
                <w:webHidden/>
              </w:rPr>
              <w:fldChar w:fldCharType="begin"/>
            </w:r>
            <w:r>
              <w:rPr>
                <w:noProof/>
                <w:webHidden/>
              </w:rPr>
              <w:instrText xml:space="preserve"> PAGEREF _Toc446329877 \h </w:instrText>
            </w:r>
            <w:r>
              <w:rPr>
                <w:noProof/>
                <w:webHidden/>
              </w:rPr>
            </w:r>
            <w:r>
              <w:rPr>
                <w:noProof/>
                <w:webHidden/>
              </w:rPr>
              <w:fldChar w:fldCharType="separate"/>
            </w:r>
            <w:r>
              <w:rPr>
                <w:noProof/>
                <w:webHidden/>
              </w:rPr>
              <w:t>4</w:t>
            </w:r>
            <w:r>
              <w:rPr>
                <w:noProof/>
                <w:webHidden/>
              </w:rPr>
              <w:fldChar w:fldCharType="end"/>
            </w:r>
          </w:hyperlink>
        </w:p>
        <w:p w:rsidR="00E45EDB" w:rsidRDefault="00E45EDB">
          <w:pPr>
            <w:pStyle w:val="TOC3"/>
            <w:tabs>
              <w:tab w:val="right" w:leader="dot" w:pos="9350"/>
            </w:tabs>
            <w:rPr>
              <w:rFonts w:eastAsiaTheme="minorEastAsia"/>
              <w:noProof/>
            </w:rPr>
          </w:pPr>
          <w:hyperlink w:anchor="_Toc446329878" w:history="1">
            <w:r w:rsidRPr="009C21A0">
              <w:rPr>
                <w:rStyle w:val="Hyperlink"/>
                <w:noProof/>
              </w:rPr>
              <w:t>State-Wide Provider PPR Weights</w:t>
            </w:r>
            <w:r>
              <w:rPr>
                <w:noProof/>
                <w:webHidden/>
              </w:rPr>
              <w:tab/>
            </w:r>
            <w:r>
              <w:rPr>
                <w:noProof/>
                <w:webHidden/>
              </w:rPr>
              <w:fldChar w:fldCharType="begin"/>
            </w:r>
            <w:r>
              <w:rPr>
                <w:noProof/>
                <w:webHidden/>
              </w:rPr>
              <w:instrText xml:space="preserve"> PAGEREF _Toc446329878 \h </w:instrText>
            </w:r>
            <w:r>
              <w:rPr>
                <w:noProof/>
                <w:webHidden/>
              </w:rPr>
            </w:r>
            <w:r>
              <w:rPr>
                <w:noProof/>
                <w:webHidden/>
              </w:rPr>
              <w:fldChar w:fldCharType="separate"/>
            </w:r>
            <w:r>
              <w:rPr>
                <w:noProof/>
                <w:webHidden/>
              </w:rPr>
              <w:t>5</w:t>
            </w:r>
            <w:r>
              <w:rPr>
                <w:noProof/>
                <w:webHidden/>
              </w:rPr>
              <w:fldChar w:fldCharType="end"/>
            </w:r>
          </w:hyperlink>
        </w:p>
        <w:p w:rsidR="00E45EDB" w:rsidRDefault="00E45EDB">
          <w:pPr>
            <w:pStyle w:val="TOC3"/>
            <w:tabs>
              <w:tab w:val="right" w:leader="dot" w:pos="9350"/>
            </w:tabs>
            <w:rPr>
              <w:rFonts w:eastAsiaTheme="minorEastAsia"/>
              <w:noProof/>
            </w:rPr>
          </w:pPr>
          <w:hyperlink w:anchor="_Toc446329879" w:history="1">
            <w:r w:rsidRPr="009C21A0">
              <w:rPr>
                <w:rStyle w:val="Hyperlink"/>
                <w:noProof/>
              </w:rPr>
              <w:t>State-Wide Provider Distributions</w:t>
            </w:r>
            <w:r>
              <w:rPr>
                <w:noProof/>
                <w:webHidden/>
              </w:rPr>
              <w:tab/>
            </w:r>
            <w:r>
              <w:rPr>
                <w:noProof/>
                <w:webHidden/>
              </w:rPr>
              <w:fldChar w:fldCharType="begin"/>
            </w:r>
            <w:r>
              <w:rPr>
                <w:noProof/>
                <w:webHidden/>
              </w:rPr>
              <w:instrText xml:space="preserve"> PAGEREF _Toc446329879 \h </w:instrText>
            </w:r>
            <w:r>
              <w:rPr>
                <w:noProof/>
                <w:webHidden/>
              </w:rPr>
            </w:r>
            <w:r>
              <w:rPr>
                <w:noProof/>
                <w:webHidden/>
              </w:rPr>
              <w:fldChar w:fldCharType="separate"/>
            </w:r>
            <w:r>
              <w:rPr>
                <w:noProof/>
                <w:webHidden/>
              </w:rPr>
              <w:t>5</w:t>
            </w:r>
            <w:r>
              <w:rPr>
                <w:noProof/>
                <w:webHidden/>
              </w:rPr>
              <w:fldChar w:fldCharType="end"/>
            </w:r>
          </w:hyperlink>
        </w:p>
        <w:p w:rsidR="00E45EDB" w:rsidRDefault="00E45EDB">
          <w:pPr>
            <w:pStyle w:val="TOC3"/>
            <w:tabs>
              <w:tab w:val="right" w:leader="dot" w:pos="9350"/>
            </w:tabs>
            <w:rPr>
              <w:rFonts w:eastAsiaTheme="minorEastAsia"/>
              <w:noProof/>
            </w:rPr>
          </w:pPr>
          <w:hyperlink w:anchor="_Toc446329880" w:history="1">
            <w:r w:rsidRPr="009C21A0">
              <w:rPr>
                <w:rStyle w:val="Hyperlink"/>
                <w:noProof/>
              </w:rPr>
              <w:t>PPR Results by Category</w:t>
            </w:r>
            <w:r>
              <w:rPr>
                <w:noProof/>
                <w:webHidden/>
              </w:rPr>
              <w:tab/>
            </w:r>
            <w:r>
              <w:rPr>
                <w:noProof/>
                <w:webHidden/>
              </w:rPr>
              <w:fldChar w:fldCharType="begin"/>
            </w:r>
            <w:r>
              <w:rPr>
                <w:noProof/>
                <w:webHidden/>
              </w:rPr>
              <w:instrText xml:space="preserve"> PAGEREF _Toc446329880 \h </w:instrText>
            </w:r>
            <w:r>
              <w:rPr>
                <w:noProof/>
                <w:webHidden/>
              </w:rPr>
            </w:r>
            <w:r>
              <w:rPr>
                <w:noProof/>
                <w:webHidden/>
              </w:rPr>
              <w:fldChar w:fldCharType="separate"/>
            </w:r>
            <w:r>
              <w:rPr>
                <w:noProof/>
                <w:webHidden/>
              </w:rPr>
              <w:t>5</w:t>
            </w:r>
            <w:r>
              <w:rPr>
                <w:noProof/>
                <w:webHidden/>
              </w:rPr>
              <w:fldChar w:fldCharType="end"/>
            </w:r>
          </w:hyperlink>
          <w:bookmarkStart w:id="0" w:name="_GoBack"/>
          <w:bookmarkEnd w:id="0"/>
        </w:p>
        <w:p w:rsidR="00E45EDB" w:rsidRDefault="00E45EDB">
          <w:pPr>
            <w:pStyle w:val="TOC3"/>
            <w:tabs>
              <w:tab w:val="right" w:leader="dot" w:pos="9350"/>
            </w:tabs>
            <w:rPr>
              <w:rFonts w:eastAsiaTheme="minorEastAsia"/>
              <w:noProof/>
            </w:rPr>
          </w:pPr>
          <w:hyperlink w:anchor="_Toc446329881" w:history="1">
            <w:r w:rsidRPr="009C21A0">
              <w:rPr>
                <w:rStyle w:val="Hyperlink"/>
                <w:noProof/>
              </w:rPr>
              <w:t>PPR Results by APR-DRG</w:t>
            </w:r>
            <w:r>
              <w:rPr>
                <w:noProof/>
                <w:webHidden/>
              </w:rPr>
              <w:tab/>
            </w:r>
            <w:r>
              <w:rPr>
                <w:noProof/>
                <w:webHidden/>
              </w:rPr>
              <w:fldChar w:fldCharType="begin"/>
            </w:r>
            <w:r>
              <w:rPr>
                <w:noProof/>
                <w:webHidden/>
              </w:rPr>
              <w:instrText xml:space="preserve"> PAGEREF _Toc446329881 \h </w:instrText>
            </w:r>
            <w:r>
              <w:rPr>
                <w:noProof/>
                <w:webHidden/>
              </w:rPr>
            </w:r>
            <w:r>
              <w:rPr>
                <w:noProof/>
                <w:webHidden/>
              </w:rPr>
              <w:fldChar w:fldCharType="separate"/>
            </w:r>
            <w:r>
              <w:rPr>
                <w:noProof/>
                <w:webHidden/>
              </w:rPr>
              <w:t>6</w:t>
            </w:r>
            <w:r>
              <w:rPr>
                <w:noProof/>
                <w:webHidden/>
              </w:rPr>
              <w:fldChar w:fldCharType="end"/>
            </w:r>
          </w:hyperlink>
        </w:p>
        <w:p w:rsidR="00E45EDB" w:rsidRDefault="00E45EDB">
          <w:pPr>
            <w:pStyle w:val="TOC3"/>
            <w:tabs>
              <w:tab w:val="right" w:leader="dot" w:pos="9350"/>
            </w:tabs>
            <w:rPr>
              <w:rFonts w:eastAsiaTheme="minorEastAsia"/>
              <w:noProof/>
            </w:rPr>
          </w:pPr>
          <w:hyperlink w:anchor="_Toc446329882" w:history="1">
            <w:r w:rsidRPr="009C21A0">
              <w:rPr>
                <w:rStyle w:val="Hyperlink"/>
                <w:noProof/>
              </w:rPr>
              <w:t>PPR Results by PPR Reason</w:t>
            </w:r>
            <w:r>
              <w:rPr>
                <w:noProof/>
                <w:webHidden/>
              </w:rPr>
              <w:tab/>
            </w:r>
            <w:r>
              <w:rPr>
                <w:noProof/>
                <w:webHidden/>
              </w:rPr>
              <w:fldChar w:fldCharType="begin"/>
            </w:r>
            <w:r>
              <w:rPr>
                <w:noProof/>
                <w:webHidden/>
              </w:rPr>
              <w:instrText xml:space="preserve"> PAGEREF _Toc446329882 \h </w:instrText>
            </w:r>
            <w:r>
              <w:rPr>
                <w:noProof/>
                <w:webHidden/>
              </w:rPr>
            </w:r>
            <w:r>
              <w:rPr>
                <w:noProof/>
                <w:webHidden/>
              </w:rPr>
              <w:fldChar w:fldCharType="separate"/>
            </w:r>
            <w:r>
              <w:rPr>
                <w:noProof/>
                <w:webHidden/>
              </w:rPr>
              <w:t>6</w:t>
            </w:r>
            <w:r>
              <w:rPr>
                <w:noProof/>
                <w:webHidden/>
              </w:rPr>
              <w:fldChar w:fldCharType="end"/>
            </w:r>
          </w:hyperlink>
        </w:p>
        <w:p w:rsidR="00E45EDB" w:rsidRDefault="00E45EDB">
          <w:pPr>
            <w:pStyle w:val="TOC1"/>
            <w:tabs>
              <w:tab w:val="right" w:leader="dot" w:pos="9350"/>
            </w:tabs>
            <w:rPr>
              <w:rFonts w:eastAsiaTheme="minorEastAsia"/>
              <w:noProof/>
            </w:rPr>
          </w:pPr>
          <w:hyperlink w:anchor="_Toc446329883" w:history="1">
            <w:r w:rsidRPr="009C21A0">
              <w:rPr>
                <w:rStyle w:val="Hyperlink"/>
                <w:noProof/>
              </w:rPr>
              <w:t>Reference</w:t>
            </w:r>
            <w:r>
              <w:rPr>
                <w:noProof/>
                <w:webHidden/>
              </w:rPr>
              <w:tab/>
            </w:r>
            <w:r>
              <w:rPr>
                <w:noProof/>
                <w:webHidden/>
              </w:rPr>
              <w:fldChar w:fldCharType="begin"/>
            </w:r>
            <w:r>
              <w:rPr>
                <w:noProof/>
                <w:webHidden/>
              </w:rPr>
              <w:instrText xml:space="preserve"> PAGEREF _Toc446329883 \h </w:instrText>
            </w:r>
            <w:r>
              <w:rPr>
                <w:noProof/>
                <w:webHidden/>
              </w:rPr>
            </w:r>
            <w:r>
              <w:rPr>
                <w:noProof/>
                <w:webHidden/>
              </w:rPr>
              <w:fldChar w:fldCharType="separate"/>
            </w:r>
            <w:r>
              <w:rPr>
                <w:noProof/>
                <w:webHidden/>
              </w:rPr>
              <w:t>6</w:t>
            </w:r>
            <w:r>
              <w:rPr>
                <w:noProof/>
                <w:webHidden/>
              </w:rPr>
              <w:fldChar w:fldCharType="end"/>
            </w:r>
          </w:hyperlink>
        </w:p>
        <w:p w:rsidR="00267122" w:rsidRPr="00631C9A" w:rsidRDefault="0051725C" w:rsidP="004D1BE4">
          <w:pPr>
            <w:spacing w:after="0"/>
          </w:pPr>
          <w:r w:rsidRPr="00631C9A">
            <w:rPr>
              <w:b/>
              <w:bCs/>
              <w:noProof/>
            </w:rPr>
            <w:fldChar w:fldCharType="end"/>
          </w:r>
        </w:p>
      </w:sdtContent>
    </w:sdt>
    <w:p w:rsidR="00267122" w:rsidRPr="00631C9A" w:rsidRDefault="00267122" w:rsidP="00267122"/>
    <w:p w:rsidR="00267122" w:rsidRPr="00631C9A" w:rsidRDefault="00267122" w:rsidP="00267122">
      <w:pPr>
        <w:sectPr w:rsidR="00267122" w:rsidRPr="00631C9A" w:rsidSect="00397BDA">
          <w:headerReference w:type="default" r:id="rId10"/>
          <w:footerReference w:type="default" r:id="rId11"/>
          <w:pgSz w:w="12240" w:h="15840"/>
          <w:pgMar w:top="1440" w:right="1440" w:bottom="1440" w:left="1440" w:header="720" w:footer="720" w:gutter="0"/>
          <w:pgNumType w:start="1"/>
          <w:cols w:space="720"/>
          <w:docGrid w:linePitch="360"/>
        </w:sectPr>
      </w:pPr>
    </w:p>
    <w:p w:rsidR="00267122" w:rsidRDefault="00267122" w:rsidP="00267122">
      <w:pPr>
        <w:pStyle w:val="Heading1"/>
      </w:pPr>
      <w:bookmarkStart w:id="1" w:name="_Toc446329873"/>
      <w:r w:rsidRPr="00631C9A">
        <w:lastRenderedPageBreak/>
        <w:t>Section 1. Introduction</w:t>
      </w:r>
      <w:bookmarkEnd w:id="1"/>
    </w:p>
    <w:p w:rsidR="00466FA5" w:rsidRDefault="00B21935" w:rsidP="00731280">
      <w:pPr>
        <w:spacing w:before="120" w:after="0"/>
      </w:pPr>
      <w:r w:rsidRPr="00DC20AA">
        <w:t xml:space="preserve">Readmissions have </w:t>
      </w:r>
      <w:r w:rsidR="005B1353" w:rsidRPr="00DC20AA">
        <w:t>potential</w:t>
      </w:r>
      <w:r w:rsidR="005B1353">
        <w:t xml:space="preserve"> </w:t>
      </w:r>
      <w:r w:rsidR="005B1353" w:rsidRPr="00DC20AA">
        <w:t>value</w:t>
      </w:r>
      <w:r w:rsidRPr="00DC20AA">
        <w:t xml:space="preserve"> as an indicator of quality of care because they may reflect poor clinical care and poor coordination of services either during hospitalization or in the immediate post discharge period</w:t>
      </w:r>
      <w:r w:rsidR="00421BB0">
        <w:t xml:space="preserve">. </w:t>
      </w:r>
      <w:r w:rsidR="00036922" w:rsidRPr="00DC20AA">
        <w:t>A potentially preventable readmission</w:t>
      </w:r>
      <w:r w:rsidR="001B1BF8">
        <w:t xml:space="preserve"> (PPR)</w:t>
      </w:r>
      <w:r w:rsidR="005B1353">
        <w:t xml:space="preserve"> </w:t>
      </w:r>
      <w:r w:rsidR="003914E7">
        <w:t>is</w:t>
      </w:r>
      <w:r w:rsidR="005B1353">
        <w:t xml:space="preserve"> </w:t>
      </w:r>
      <w:r w:rsidR="00036922" w:rsidRPr="00DC20AA">
        <w:t>a readmission (return hospitalization within the specified readmission time interval) that is clinically related to the initial hospital admission. “Clinically related” is defined as a requirement that the underlying reason for readmission be plausibly related to the care rendered during or immediately following a prior hospital admission.</w:t>
      </w:r>
      <w:r w:rsidRPr="00DC20AA">
        <w:t xml:space="preserve"> </w:t>
      </w:r>
      <w:r w:rsidR="00847738">
        <w:t xml:space="preserve">A readmission is defined as a return hospitalization to an acute care hospital that follows a prior acute care admission within a specified time interval, called the readmission time interval. The readmission time interval is the maximum number of days allowed between the discharge date of a prior admission and the admitting date of a subsequent admission. If a subsequent admission occurs within the readmission time interval and is clinically related to a prior admission, it is considered a PPR. The </w:t>
      </w:r>
      <w:r w:rsidR="002D4BE8">
        <w:t xml:space="preserve">hospitalization </w:t>
      </w:r>
      <w:r w:rsidR="007C3F46">
        <w:t xml:space="preserve">triggering </w:t>
      </w:r>
      <w:r w:rsidR="00847738">
        <w:t xml:space="preserve">a PPR is called an </w:t>
      </w:r>
      <w:r w:rsidR="00E12811">
        <w:t>I</w:t>
      </w:r>
      <w:r w:rsidR="00847738">
        <w:t xml:space="preserve">nitial </w:t>
      </w:r>
      <w:r w:rsidR="00E12811">
        <w:t>A</w:t>
      </w:r>
      <w:r w:rsidR="00847738">
        <w:t xml:space="preserve">dmission. Subsequent PPRs relate back to the care rendered during or following the </w:t>
      </w:r>
      <w:r w:rsidR="00E12811">
        <w:t>I</w:t>
      </w:r>
      <w:r w:rsidR="00847738">
        <w:t xml:space="preserve">nitial </w:t>
      </w:r>
      <w:r w:rsidR="00E12811">
        <w:t>A</w:t>
      </w:r>
      <w:r w:rsidR="00847738">
        <w:t xml:space="preserve">dmission. </w:t>
      </w:r>
      <w:r w:rsidR="00847738">
        <w:cr/>
      </w:r>
    </w:p>
    <w:p w:rsidR="00036922" w:rsidRDefault="00847738" w:rsidP="00731280">
      <w:pPr>
        <w:spacing w:after="120"/>
        <w:rPr>
          <w:i/>
        </w:rPr>
      </w:pPr>
      <w:r w:rsidRPr="00E12811">
        <w:rPr>
          <w:i/>
        </w:rPr>
        <w:t>Fo</w:t>
      </w:r>
      <w:r w:rsidR="005D6148" w:rsidRPr="00E12811">
        <w:rPr>
          <w:i/>
        </w:rPr>
        <w:t xml:space="preserve">r this report a 30 day readmission window was </w:t>
      </w:r>
      <w:r w:rsidR="00070A41">
        <w:rPr>
          <w:i/>
        </w:rPr>
        <w:t>applied.</w:t>
      </w:r>
    </w:p>
    <w:p w:rsidR="00036922" w:rsidRDefault="00DC20AA" w:rsidP="00731280">
      <w:pPr>
        <w:pStyle w:val="Heading1"/>
      </w:pPr>
      <w:bookmarkStart w:id="2" w:name="_Toc446329874"/>
      <w:r>
        <w:t>Section 2</w:t>
      </w:r>
      <w:r w:rsidR="00036922" w:rsidRPr="00631C9A">
        <w:t xml:space="preserve">. </w:t>
      </w:r>
      <w:r w:rsidR="00036922" w:rsidRPr="002E720C">
        <w:t>Data Inclu</w:t>
      </w:r>
      <w:r w:rsidR="00421BB0">
        <w:t>sion</w:t>
      </w:r>
      <w:bookmarkEnd w:id="2"/>
    </w:p>
    <w:p w:rsidR="00036922" w:rsidRPr="002D4BE8" w:rsidRDefault="00421BB0" w:rsidP="00036922">
      <w:pPr>
        <w:pStyle w:val="PPRBodyText"/>
        <w:rPr>
          <w:rFonts w:asciiTheme="minorHAnsi" w:hAnsiTheme="minorHAnsi"/>
        </w:rPr>
      </w:pPr>
      <w:r>
        <w:rPr>
          <w:rFonts w:asciiTheme="minorHAnsi" w:hAnsiTheme="minorHAnsi"/>
        </w:rPr>
        <w:t>I</w:t>
      </w:r>
      <w:r w:rsidR="0091435F" w:rsidRPr="002D4BE8">
        <w:rPr>
          <w:rFonts w:asciiTheme="minorHAnsi" w:hAnsiTheme="minorHAnsi"/>
        </w:rPr>
        <w:t>npatient facility admissions for all</w:t>
      </w:r>
      <w:r w:rsidR="00036922" w:rsidRPr="002D4BE8">
        <w:rPr>
          <w:rFonts w:asciiTheme="minorHAnsi" w:hAnsiTheme="minorHAnsi"/>
        </w:rPr>
        <w:t xml:space="preserve"> Medicaid and </w:t>
      </w:r>
      <w:r w:rsidR="0098083C" w:rsidRPr="002D4BE8">
        <w:rPr>
          <w:rFonts w:asciiTheme="minorHAnsi" w:hAnsiTheme="minorHAnsi"/>
        </w:rPr>
        <w:t>CHIP population</w:t>
      </w:r>
      <w:r w:rsidR="00036922" w:rsidRPr="002D4BE8">
        <w:rPr>
          <w:rFonts w:asciiTheme="minorHAnsi" w:hAnsiTheme="minorHAnsi"/>
        </w:rPr>
        <w:t xml:space="preserve"> for </w:t>
      </w:r>
      <w:r w:rsidR="009B0A52">
        <w:rPr>
          <w:rFonts w:asciiTheme="minorHAnsi" w:hAnsiTheme="minorHAnsi"/>
        </w:rPr>
        <w:t>calendar year</w:t>
      </w:r>
      <w:r w:rsidR="005E0744">
        <w:rPr>
          <w:rFonts w:asciiTheme="minorHAnsi" w:hAnsiTheme="minorHAnsi"/>
        </w:rPr>
        <w:t xml:space="preserve"> </w:t>
      </w:r>
      <w:r w:rsidR="0098083C" w:rsidRPr="002D4BE8">
        <w:rPr>
          <w:rFonts w:asciiTheme="minorHAnsi" w:hAnsiTheme="minorHAnsi"/>
        </w:rPr>
        <w:t>201</w:t>
      </w:r>
      <w:r w:rsidR="009B0A52">
        <w:rPr>
          <w:rFonts w:asciiTheme="minorHAnsi" w:hAnsiTheme="minorHAnsi"/>
        </w:rPr>
        <w:t>4</w:t>
      </w:r>
      <w:r>
        <w:rPr>
          <w:rFonts w:asciiTheme="minorHAnsi" w:hAnsiTheme="minorHAnsi"/>
        </w:rPr>
        <w:t xml:space="preserve"> are included</w:t>
      </w:r>
      <w:r w:rsidR="004C56EB" w:rsidRPr="002D4BE8">
        <w:rPr>
          <w:rFonts w:asciiTheme="minorHAnsi" w:hAnsiTheme="minorHAnsi"/>
        </w:rPr>
        <w:t xml:space="preserve"> with </w:t>
      </w:r>
      <w:r w:rsidR="008B0E9F">
        <w:rPr>
          <w:rFonts w:asciiTheme="minorHAnsi" w:hAnsiTheme="minorHAnsi"/>
        </w:rPr>
        <w:t>the following</w:t>
      </w:r>
      <w:r w:rsidR="008B0E9F" w:rsidRPr="002D4BE8">
        <w:rPr>
          <w:rFonts w:asciiTheme="minorHAnsi" w:hAnsiTheme="minorHAnsi"/>
        </w:rPr>
        <w:t xml:space="preserve"> </w:t>
      </w:r>
      <w:r w:rsidR="0091435F" w:rsidRPr="002D4BE8">
        <w:rPr>
          <w:rFonts w:asciiTheme="minorHAnsi" w:hAnsiTheme="minorHAnsi"/>
        </w:rPr>
        <w:t>e</w:t>
      </w:r>
      <w:r w:rsidR="00036922" w:rsidRPr="002D4BE8">
        <w:rPr>
          <w:rFonts w:asciiTheme="minorHAnsi" w:hAnsiTheme="minorHAnsi"/>
        </w:rPr>
        <w:t>xceptions</w:t>
      </w:r>
      <w:r w:rsidR="00D932CE">
        <w:rPr>
          <w:rFonts w:asciiTheme="minorHAnsi" w:hAnsiTheme="minorHAnsi"/>
        </w:rPr>
        <w:t>:</w:t>
      </w:r>
    </w:p>
    <w:p w:rsidR="00036922" w:rsidRDefault="00036922" w:rsidP="00036922">
      <w:pPr>
        <w:spacing w:before="1" w:after="0" w:line="110" w:lineRule="exact"/>
        <w:rPr>
          <w:sz w:val="11"/>
          <w:szCs w:val="11"/>
        </w:rPr>
      </w:pPr>
    </w:p>
    <w:p w:rsidR="00036922" w:rsidRPr="00036922" w:rsidRDefault="00036922" w:rsidP="00731280">
      <w:pPr>
        <w:pStyle w:val="ListParagraph"/>
        <w:numPr>
          <w:ilvl w:val="0"/>
          <w:numId w:val="23"/>
        </w:numPr>
        <w:tabs>
          <w:tab w:val="left" w:pos="480"/>
        </w:tabs>
        <w:spacing w:after="120"/>
        <w:ind w:right="14"/>
        <w:contextualSpacing w:val="0"/>
        <w:rPr>
          <w:rFonts w:eastAsia="Times New Roman" w:cs="Times New Roman"/>
        </w:rPr>
      </w:pPr>
      <w:r w:rsidRPr="00036922">
        <w:rPr>
          <w:rFonts w:eastAsia="Times New Roman" w:cs="Times New Roman"/>
          <w:b/>
          <w:bCs/>
          <w:i/>
        </w:rPr>
        <w:t>Undocumented</w:t>
      </w:r>
      <w:r w:rsidRPr="00036922">
        <w:rPr>
          <w:rFonts w:eastAsia="Times New Roman" w:cs="Times New Roman"/>
          <w:b/>
          <w:bCs/>
          <w:i/>
          <w:spacing w:val="-14"/>
        </w:rPr>
        <w:t xml:space="preserve"> </w:t>
      </w:r>
      <w:r w:rsidRPr="00036922">
        <w:rPr>
          <w:rFonts w:eastAsia="Times New Roman" w:cs="Times New Roman"/>
          <w:b/>
          <w:bCs/>
          <w:i/>
        </w:rPr>
        <w:t>Alien Status</w:t>
      </w:r>
      <w:r w:rsidR="0009331B">
        <w:rPr>
          <w:rFonts w:eastAsia="Times New Roman" w:cs="Times New Roman"/>
          <w:b/>
          <w:bCs/>
          <w:i/>
        </w:rPr>
        <w:t xml:space="preserve"> </w:t>
      </w:r>
      <w:r w:rsidRPr="00036922">
        <w:rPr>
          <w:rFonts w:eastAsia="Times New Roman" w:cs="Times New Roman"/>
        </w:rPr>
        <w:t>—</w:t>
      </w:r>
      <w:r w:rsidR="0009331B">
        <w:rPr>
          <w:rFonts w:eastAsia="Times New Roman" w:cs="Times New Roman"/>
        </w:rPr>
        <w:t xml:space="preserve"> </w:t>
      </w:r>
      <w:r w:rsidRPr="00036922">
        <w:rPr>
          <w:rFonts w:eastAsia="Times New Roman" w:cs="Times New Roman"/>
        </w:rPr>
        <w:t>If the</w:t>
      </w:r>
      <w:r w:rsidR="007C3F46">
        <w:rPr>
          <w:rFonts w:eastAsia="Times New Roman" w:cs="Times New Roman"/>
        </w:rPr>
        <w:t xml:space="preserve"> </w:t>
      </w:r>
      <w:r w:rsidR="00421BB0">
        <w:rPr>
          <w:rFonts w:eastAsia="Times New Roman" w:cs="Times New Roman"/>
        </w:rPr>
        <w:t>patient</w:t>
      </w:r>
      <w:r w:rsidRPr="00036922">
        <w:rPr>
          <w:rFonts w:eastAsia="Times New Roman" w:cs="Times New Roman"/>
        </w:rPr>
        <w:t xml:space="preserve"> had undocu</w:t>
      </w:r>
      <w:r w:rsidRPr="00036922">
        <w:rPr>
          <w:rFonts w:eastAsia="Times New Roman" w:cs="Times New Roman"/>
          <w:spacing w:val="-2"/>
        </w:rPr>
        <w:t>m</w:t>
      </w:r>
      <w:r w:rsidRPr="00036922">
        <w:rPr>
          <w:rFonts w:eastAsia="Times New Roman" w:cs="Times New Roman"/>
        </w:rPr>
        <w:t>ented</w:t>
      </w:r>
      <w:r w:rsidRPr="00036922">
        <w:rPr>
          <w:rFonts w:eastAsia="Times New Roman" w:cs="Times New Roman"/>
          <w:spacing w:val="-13"/>
        </w:rPr>
        <w:t xml:space="preserve"> </w:t>
      </w:r>
      <w:r w:rsidRPr="00036922">
        <w:rPr>
          <w:rFonts w:eastAsia="Times New Roman" w:cs="Times New Roman"/>
        </w:rPr>
        <w:t>alien</w:t>
      </w:r>
      <w:r w:rsidRPr="00036922">
        <w:rPr>
          <w:rFonts w:eastAsia="Times New Roman" w:cs="Times New Roman"/>
          <w:spacing w:val="-4"/>
        </w:rPr>
        <w:t xml:space="preserve"> status</w:t>
      </w:r>
      <w:r w:rsidR="005E0744">
        <w:rPr>
          <w:rFonts w:eastAsia="Times New Roman" w:cs="Times New Roman"/>
          <w:spacing w:val="-4"/>
        </w:rPr>
        <w:t xml:space="preserve"> and</w:t>
      </w:r>
      <w:r w:rsidRPr="00036922">
        <w:rPr>
          <w:rFonts w:eastAsia="Times New Roman" w:cs="Times New Roman"/>
          <w:spacing w:val="-9"/>
        </w:rPr>
        <w:t xml:space="preserve"> </w:t>
      </w:r>
      <w:r w:rsidR="005E0744">
        <w:rPr>
          <w:rFonts w:eastAsia="Times New Roman" w:cs="Times New Roman"/>
        </w:rPr>
        <w:t>i</w:t>
      </w:r>
      <w:r w:rsidRPr="00036922">
        <w:rPr>
          <w:rFonts w:eastAsia="Times New Roman" w:cs="Times New Roman"/>
        </w:rPr>
        <w:t>f</w:t>
      </w:r>
      <w:r w:rsidRPr="00036922">
        <w:rPr>
          <w:rFonts w:eastAsia="Times New Roman" w:cs="Times New Roman"/>
          <w:spacing w:val="-1"/>
        </w:rPr>
        <w:t xml:space="preserve"> </w:t>
      </w:r>
      <w:r w:rsidRPr="00036922">
        <w:rPr>
          <w:rFonts w:eastAsia="Times New Roman" w:cs="Times New Roman"/>
        </w:rPr>
        <w:t>the</w:t>
      </w:r>
      <w:r w:rsidRPr="00036922">
        <w:rPr>
          <w:rFonts w:eastAsia="Times New Roman" w:cs="Times New Roman"/>
          <w:spacing w:val="-3"/>
        </w:rPr>
        <w:t xml:space="preserve"> client</w:t>
      </w:r>
      <w:r w:rsidRPr="00036922">
        <w:rPr>
          <w:rFonts w:eastAsia="Times New Roman" w:cs="Times New Roman"/>
          <w:spacing w:val="-7"/>
        </w:rPr>
        <w:t xml:space="preserve"> </w:t>
      </w:r>
      <w:r w:rsidRPr="00036922">
        <w:rPr>
          <w:rFonts w:eastAsia="Times New Roman" w:cs="Times New Roman"/>
        </w:rPr>
        <w:t>was discharged</w:t>
      </w:r>
      <w:r w:rsidRPr="00036922">
        <w:rPr>
          <w:rFonts w:eastAsia="Times New Roman" w:cs="Times New Roman"/>
          <w:spacing w:val="-10"/>
        </w:rPr>
        <w:t xml:space="preserve"> </w:t>
      </w:r>
      <w:r w:rsidRPr="00036922">
        <w:rPr>
          <w:rFonts w:eastAsia="Times New Roman" w:cs="Times New Roman"/>
        </w:rPr>
        <w:t>and</w:t>
      </w:r>
      <w:r w:rsidRPr="00036922">
        <w:rPr>
          <w:rFonts w:eastAsia="Times New Roman" w:cs="Times New Roman"/>
          <w:spacing w:val="-3"/>
        </w:rPr>
        <w:t xml:space="preserve"> </w:t>
      </w:r>
      <w:r w:rsidRPr="00036922">
        <w:rPr>
          <w:rFonts w:eastAsia="Times New Roman" w:cs="Times New Roman"/>
        </w:rPr>
        <w:t>rea</w:t>
      </w:r>
      <w:r w:rsidRPr="00036922">
        <w:rPr>
          <w:rFonts w:eastAsia="Times New Roman" w:cs="Times New Roman"/>
          <w:spacing w:val="2"/>
        </w:rPr>
        <w:t>d</w:t>
      </w:r>
      <w:r w:rsidRPr="00036922">
        <w:rPr>
          <w:rFonts w:eastAsia="Times New Roman" w:cs="Times New Roman"/>
          <w:spacing w:val="-2"/>
        </w:rPr>
        <w:t>m</w:t>
      </w:r>
      <w:r w:rsidRPr="00036922">
        <w:rPr>
          <w:rFonts w:eastAsia="Times New Roman" w:cs="Times New Roman"/>
        </w:rPr>
        <w:t>itted,</w:t>
      </w:r>
      <w:r w:rsidRPr="00036922">
        <w:rPr>
          <w:rFonts w:eastAsia="Times New Roman" w:cs="Times New Roman"/>
          <w:spacing w:val="-10"/>
        </w:rPr>
        <w:t xml:space="preserve"> </w:t>
      </w:r>
      <w:r w:rsidRPr="00036922">
        <w:rPr>
          <w:rFonts w:eastAsia="Times New Roman" w:cs="Times New Roman"/>
        </w:rPr>
        <w:t>the</w:t>
      </w:r>
      <w:r w:rsidRPr="00036922">
        <w:rPr>
          <w:rFonts w:eastAsia="Times New Roman" w:cs="Times New Roman"/>
          <w:spacing w:val="-3"/>
        </w:rPr>
        <w:t xml:space="preserve"> </w:t>
      </w:r>
      <w:r w:rsidRPr="00036922">
        <w:rPr>
          <w:rFonts w:eastAsia="Times New Roman" w:cs="Times New Roman"/>
        </w:rPr>
        <w:t>rea</w:t>
      </w:r>
      <w:r w:rsidRPr="00036922">
        <w:rPr>
          <w:rFonts w:eastAsia="Times New Roman" w:cs="Times New Roman"/>
          <w:spacing w:val="2"/>
        </w:rPr>
        <w:t>d</w:t>
      </w:r>
      <w:r w:rsidRPr="00036922">
        <w:rPr>
          <w:rFonts w:eastAsia="Times New Roman" w:cs="Times New Roman"/>
          <w:spacing w:val="-2"/>
        </w:rPr>
        <w:t>m</w:t>
      </w:r>
      <w:r w:rsidRPr="00036922">
        <w:rPr>
          <w:rFonts w:eastAsia="Times New Roman" w:cs="Times New Roman"/>
        </w:rPr>
        <w:t>iss</w:t>
      </w:r>
      <w:r w:rsidRPr="00036922">
        <w:rPr>
          <w:rFonts w:eastAsia="Times New Roman" w:cs="Times New Roman"/>
          <w:spacing w:val="1"/>
        </w:rPr>
        <w:t>i</w:t>
      </w:r>
      <w:r w:rsidRPr="00036922">
        <w:rPr>
          <w:rFonts w:eastAsia="Times New Roman" w:cs="Times New Roman"/>
        </w:rPr>
        <w:t>on</w:t>
      </w:r>
      <w:r w:rsidRPr="00036922">
        <w:rPr>
          <w:rFonts w:eastAsia="Times New Roman" w:cs="Times New Roman"/>
          <w:spacing w:val="-11"/>
        </w:rPr>
        <w:t xml:space="preserve"> </w:t>
      </w:r>
      <w:r w:rsidR="00421BB0">
        <w:rPr>
          <w:rFonts w:eastAsia="Times New Roman" w:cs="Times New Roman"/>
        </w:rPr>
        <w:t>may</w:t>
      </w:r>
      <w:r w:rsidRPr="00036922">
        <w:rPr>
          <w:rFonts w:eastAsia="Times New Roman" w:cs="Times New Roman"/>
          <w:spacing w:val="-5"/>
        </w:rPr>
        <w:t xml:space="preserve"> </w:t>
      </w:r>
      <w:r w:rsidRPr="00036922">
        <w:rPr>
          <w:rFonts w:eastAsia="Times New Roman" w:cs="Times New Roman"/>
        </w:rPr>
        <w:t>not have</w:t>
      </w:r>
      <w:r w:rsidRPr="00036922">
        <w:rPr>
          <w:rFonts w:eastAsia="Times New Roman" w:cs="Times New Roman"/>
          <w:spacing w:val="-4"/>
        </w:rPr>
        <w:t xml:space="preserve"> </w:t>
      </w:r>
      <w:r w:rsidRPr="00036922">
        <w:rPr>
          <w:rFonts w:eastAsia="Times New Roman" w:cs="Times New Roman"/>
        </w:rPr>
        <w:t>been</w:t>
      </w:r>
      <w:r w:rsidRPr="00036922">
        <w:rPr>
          <w:rFonts w:eastAsia="Times New Roman" w:cs="Times New Roman"/>
          <w:spacing w:val="-4"/>
        </w:rPr>
        <w:t xml:space="preserve"> </w:t>
      </w:r>
      <w:r w:rsidRPr="00036922">
        <w:rPr>
          <w:rFonts w:eastAsia="Times New Roman" w:cs="Times New Roman"/>
        </w:rPr>
        <w:t>c</w:t>
      </w:r>
      <w:r w:rsidRPr="00036922">
        <w:rPr>
          <w:rFonts w:eastAsia="Times New Roman" w:cs="Times New Roman"/>
          <w:spacing w:val="1"/>
        </w:rPr>
        <w:t>a</w:t>
      </w:r>
      <w:r w:rsidRPr="00036922">
        <w:rPr>
          <w:rFonts w:eastAsia="Times New Roman" w:cs="Times New Roman"/>
        </w:rPr>
        <w:t>ptured</w:t>
      </w:r>
      <w:r w:rsidRPr="00036922">
        <w:rPr>
          <w:rFonts w:eastAsia="Times New Roman" w:cs="Times New Roman"/>
          <w:spacing w:val="-8"/>
        </w:rPr>
        <w:t xml:space="preserve"> </w:t>
      </w:r>
      <w:r w:rsidRPr="00036922">
        <w:rPr>
          <w:rFonts w:eastAsia="Times New Roman" w:cs="Times New Roman"/>
        </w:rPr>
        <w:t>in</w:t>
      </w:r>
      <w:r w:rsidRPr="00036922">
        <w:rPr>
          <w:rFonts w:eastAsia="Times New Roman" w:cs="Times New Roman"/>
          <w:spacing w:val="-2"/>
        </w:rPr>
        <w:t xml:space="preserve"> </w:t>
      </w:r>
      <w:r w:rsidRPr="00036922">
        <w:rPr>
          <w:rFonts w:eastAsia="Times New Roman" w:cs="Times New Roman"/>
        </w:rPr>
        <w:t>the</w:t>
      </w:r>
      <w:r w:rsidRPr="00036922">
        <w:rPr>
          <w:rFonts w:eastAsia="Times New Roman" w:cs="Times New Roman"/>
          <w:spacing w:val="-4"/>
        </w:rPr>
        <w:t xml:space="preserve"> </w:t>
      </w:r>
      <w:r w:rsidRPr="00036922">
        <w:rPr>
          <w:rFonts w:eastAsia="Times New Roman" w:cs="Times New Roman"/>
        </w:rPr>
        <w:t>Medicaid</w:t>
      </w:r>
      <w:r w:rsidRPr="00036922">
        <w:rPr>
          <w:rFonts w:eastAsia="Times New Roman" w:cs="Times New Roman"/>
          <w:spacing w:val="-8"/>
        </w:rPr>
        <w:t xml:space="preserve"> </w:t>
      </w:r>
      <w:r w:rsidRPr="00036922">
        <w:rPr>
          <w:rFonts w:eastAsia="Times New Roman" w:cs="Times New Roman"/>
        </w:rPr>
        <w:t>database.</w:t>
      </w:r>
    </w:p>
    <w:p w:rsidR="00036922" w:rsidRPr="0091435F" w:rsidRDefault="00036922" w:rsidP="002D4BE8">
      <w:pPr>
        <w:pStyle w:val="ListParagraph"/>
        <w:numPr>
          <w:ilvl w:val="0"/>
          <w:numId w:val="24"/>
        </w:numPr>
        <w:spacing w:after="120"/>
        <w:contextualSpacing w:val="0"/>
      </w:pPr>
      <w:r w:rsidRPr="00036922">
        <w:rPr>
          <w:rFonts w:eastAsia="Times New Roman" w:cs="Times New Roman"/>
          <w:b/>
          <w:bCs/>
          <w:i/>
          <w:spacing w:val="-1"/>
        </w:rPr>
        <w:t>Medicaid / Medicare Dual Eligibility</w:t>
      </w:r>
      <w:r w:rsidR="0009331B">
        <w:rPr>
          <w:rFonts w:eastAsia="Times New Roman" w:cs="Times New Roman"/>
          <w:b/>
          <w:bCs/>
          <w:i/>
          <w:spacing w:val="-1"/>
        </w:rPr>
        <w:t xml:space="preserve"> </w:t>
      </w:r>
      <w:r w:rsidRPr="00036922">
        <w:rPr>
          <w:rFonts w:eastAsia="Times New Roman" w:cs="Times New Roman"/>
        </w:rPr>
        <w:t>—</w:t>
      </w:r>
      <w:r w:rsidR="005428E1">
        <w:rPr>
          <w:rFonts w:eastAsia="Times New Roman" w:cs="Times New Roman"/>
        </w:rPr>
        <w:t xml:space="preserve"> Patients</w:t>
      </w:r>
      <w:r w:rsidRPr="00036922">
        <w:rPr>
          <w:rFonts w:eastAsia="Times New Roman" w:cs="Times New Roman"/>
          <w:spacing w:val="-7"/>
        </w:rPr>
        <w:t xml:space="preserve"> </w:t>
      </w:r>
      <w:r w:rsidRPr="00036922">
        <w:rPr>
          <w:rFonts w:eastAsia="Times New Roman" w:cs="Times New Roman"/>
        </w:rPr>
        <w:t>who</w:t>
      </w:r>
      <w:r w:rsidRPr="00036922">
        <w:rPr>
          <w:rFonts w:eastAsia="Times New Roman" w:cs="Times New Roman"/>
          <w:spacing w:val="-4"/>
        </w:rPr>
        <w:t xml:space="preserve"> </w:t>
      </w:r>
      <w:r w:rsidRPr="00036922">
        <w:rPr>
          <w:rFonts w:eastAsia="Times New Roman" w:cs="Times New Roman"/>
        </w:rPr>
        <w:t>were</w:t>
      </w:r>
      <w:r w:rsidRPr="00036922">
        <w:rPr>
          <w:rFonts w:eastAsia="Times New Roman" w:cs="Times New Roman"/>
          <w:spacing w:val="-4"/>
        </w:rPr>
        <w:t xml:space="preserve"> </w:t>
      </w:r>
      <w:r w:rsidRPr="00036922">
        <w:rPr>
          <w:rFonts w:eastAsia="Times New Roman" w:cs="Times New Roman"/>
        </w:rPr>
        <w:t>dually</w:t>
      </w:r>
      <w:r w:rsidRPr="00036922">
        <w:rPr>
          <w:rFonts w:eastAsia="Times New Roman" w:cs="Times New Roman"/>
          <w:spacing w:val="-3"/>
        </w:rPr>
        <w:t xml:space="preserve"> </w:t>
      </w:r>
      <w:r w:rsidRPr="00036922">
        <w:rPr>
          <w:rFonts w:eastAsia="Times New Roman" w:cs="Times New Roman"/>
          <w:spacing w:val="-1"/>
        </w:rPr>
        <w:t>e</w:t>
      </w:r>
      <w:r w:rsidRPr="00036922">
        <w:rPr>
          <w:rFonts w:eastAsia="Times New Roman" w:cs="Times New Roman"/>
        </w:rPr>
        <w:t>ligible</w:t>
      </w:r>
      <w:r w:rsidRPr="00036922">
        <w:rPr>
          <w:rFonts w:eastAsia="Times New Roman" w:cs="Times New Roman"/>
          <w:spacing w:val="-7"/>
        </w:rPr>
        <w:t xml:space="preserve"> </w:t>
      </w:r>
      <w:r w:rsidRPr="00036922">
        <w:rPr>
          <w:rFonts w:eastAsia="Times New Roman" w:cs="Times New Roman"/>
        </w:rPr>
        <w:t>for</w:t>
      </w:r>
      <w:r>
        <w:rPr>
          <w:rFonts w:eastAsia="Times New Roman" w:cs="Times New Roman"/>
        </w:rPr>
        <w:t xml:space="preserve"> bot</w:t>
      </w:r>
      <w:r w:rsidRPr="00036922">
        <w:rPr>
          <w:rFonts w:eastAsia="Times New Roman" w:cs="Times New Roman"/>
        </w:rPr>
        <w:t xml:space="preserve">h Medicaid and Medicare </w:t>
      </w:r>
      <w:r w:rsidR="005428E1">
        <w:rPr>
          <w:rFonts w:eastAsia="Times New Roman" w:cs="Times New Roman"/>
        </w:rPr>
        <w:t xml:space="preserve">during the measurement year </w:t>
      </w:r>
      <w:r w:rsidRPr="00036922">
        <w:rPr>
          <w:rFonts w:eastAsia="Times New Roman" w:cs="Times New Roman"/>
        </w:rPr>
        <w:t>were excluded.</w:t>
      </w:r>
    </w:p>
    <w:p w:rsidR="00C34ECD" w:rsidRDefault="0091435F" w:rsidP="002D4BE8">
      <w:pPr>
        <w:pStyle w:val="ListParagraph"/>
        <w:numPr>
          <w:ilvl w:val="0"/>
          <w:numId w:val="24"/>
        </w:numPr>
        <w:spacing w:after="120"/>
        <w:contextualSpacing w:val="0"/>
      </w:pPr>
      <w:r w:rsidRPr="00731280">
        <w:rPr>
          <w:b/>
          <w:i/>
        </w:rPr>
        <w:t>Global PPR exclusions</w:t>
      </w:r>
      <w:r>
        <w:t xml:space="preserve"> </w:t>
      </w:r>
      <w:r w:rsidRPr="0091435F">
        <w:rPr>
          <w:rFonts w:eastAsia="Times New Roman" w:cs="Times New Roman"/>
        </w:rPr>
        <w:t>—</w:t>
      </w:r>
      <w:r w:rsidR="002D4BE8">
        <w:rPr>
          <w:rFonts w:eastAsia="Times New Roman" w:cs="Times New Roman"/>
        </w:rPr>
        <w:t xml:space="preserve"> </w:t>
      </w:r>
      <w:r w:rsidR="007C58F6" w:rsidRPr="00C732CB">
        <w:t xml:space="preserve">Admissions with certain malignant </w:t>
      </w:r>
      <w:r w:rsidR="007C58F6">
        <w:t>Diagnosis Related Groups (DRGs)</w:t>
      </w:r>
      <w:r w:rsidR="007C58F6" w:rsidRPr="00C732CB">
        <w:t xml:space="preserve">, </w:t>
      </w:r>
      <w:r w:rsidR="007C58F6">
        <w:t>HIV patients, palliative cares; a s</w:t>
      </w:r>
      <w:r w:rsidR="007C58F6" w:rsidRPr="00C732CB">
        <w:t>ituation where it is very likely that a readmission was either planned, unpreventable, or</w:t>
      </w:r>
      <w:r w:rsidR="007C58F6">
        <w:t xml:space="preserve"> beyond a hospital's influence; and encounters</w:t>
      </w:r>
      <w:r w:rsidR="007C58F6" w:rsidRPr="00C732CB">
        <w:t xml:space="preserve"> with a discharge status of “left against medical advice</w:t>
      </w:r>
      <w:r w:rsidR="007C58F6">
        <w:t>”. Refer to the 3M specifications manual for the complete list of exclusions.</w:t>
      </w:r>
    </w:p>
    <w:p w:rsidR="00BB4A1F" w:rsidRDefault="004C56EB" w:rsidP="00BB4A1F">
      <w:pPr>
        <w:pStyle w:val="Heading1"/>
      </w:pPr>
      <w:bookmarkStart w:id="3" w:name="_Toc446329875"/>
      <w:r>
        <w:t>Section 3.</w:t>
      </w:r>
      <w:r w:rsidR="001E5C72">
        <w:t xml:space="preserve"> </w:t>
      </w:r>
      <w:r>
        <w:t xml:space="preserve"> PPR</w:t>
      </w:r>
      <w:r w:rsidR="00BB4A1F">
        <w:t xml:space="preserve"> Logic</w:t>
      </w:r>
      <w:r w:rsidR="000318C0">
        <w:t xml:space="preserve"> and Calculation of </w:t>
      </w:r>
      <w:r w:rsidR="008B0E9F">
        <w:t xml:space="preserve">Weights </w:t>
      </w:r>
      <w:r w:rsidR="000318C0">
        <w:t>and Expenditures for Facilities</w:t>
      </w:r>
      <w:bookmarkEnd w:id="3"/>
    </w:p>
    <w:p w:rsidR="005D6148" w:rsidRDefault="00036922" w:rsidP="00C55385">
      <w:r w:rsidRPr="00036922">
        <w:t>The 3M</w:t>
      </w:r>
      <w:r w:rsidR="005428E1">
        <w:t>™</w:t>
      </w:r>
      <w:r w:rsidRPr="00036922">
        <w:t xml:space="preserve"> PPR methodology is a computerized algorithm </w:t>
      </w:r>
      <w:r w:rsidR="005428E1">
        <w:t>to</w:t>
      </w:r>
      <w:r w:rsidR="00BA182A">
        <w:t xml:space="preserve"> identify </w:t>
      </w:r>
      <w:r w:rsidRPr="00036922">
        <w:t>readmissions w</w:t>
      </w:r>
      <w:r w:rsidR="005428E1">
        <w:t>ith</w:t>
      </w:r>
      <w:r w:rsidRPr="00036922">
        <w:t xml:space="preserve"> a plausible clinical relationship to the care rendered during or immediately following a prior hospital admission</w:t>
      </w:r>
      <w:r>
        <w:t xml:space="preserve">. Every </w:t>
      </w:r>
      <w:r w:rsidRPr="00036922">
        <w:t xml:space="preserve">stay </w:t>
      </w:r>
      <w:r w:rsidR="004C56EB">
        <w:t>is</w:t>
      </w:r>
      <w:r w:rsidRPr="00036922">
        <w:t xml:space="preserve"> assigned to an All Patient Refined (APR)-Diagnosis Related Group (DRG). There are 314 base APR-DRGs </w:t>
      </w:r>
      <w:r>
        <w:t>and each</w:t>
      </w:r>
      <w:r w:rsidRPr="00036922">
        <w:t xml:space="preserve"> base APR-DRG has four levels of severity.</w:t>
      </w:r>
    </w:p>
    <w:p w:rsidR="0077342D" w:rsidRDefault="0077342D" w:rsidP="0077342D">
      <w:r>
        <w:t>A 3M panel of clinicians determined whether each possible admission/readmission pair represented a PPR. For some pairs, additional factors were considered, including patient age or particular diagnoses and procedures within an APR-DRG. A readmission is considered clinically-related to the Initial Admission if the reason for the readmission falls into one of three cate</w:t>
      </w:r>
      <w:r w:rsidR="009B0A52">
        <w:t>gories for medical readmissions</w:t>
      </w:r>
      <w:r>
        <w:t xml:space="preserve">, </w:t>
      </w:r>
      <w:r>
        <w:lastRenderedPageBreak/>
        <w:t>one of two categories for surgical readmissions and one category for mental health or substance abuse conditions. Readmissions for medical reasons are much more common than readmissions for surgical procedures, regardless of the reason for the Initial Admission. The three categories of clinically-related medical readmissions are as follows:</w:t>
      </w:r>
    </w:p>
    <w:p w:rsidR="0077342D" w:rsidRDefault="0077342D" w:rsidP="0077342D">
      <w:pPr>
        <w:pStyle w:val="ListParagraph"/>
        <w:numPr>
          <w:ilvl w:val="0"/>
          <w:numId w:val="28"/>
        </w:numPr>
      </w:pPr>
      <w:r>
        <w:t>A continuation or recurrence of the reason for the Initial admission, or for a condition closely related to the reason for the Initial Admission (e.g. a readmission for diabetes following an Initial Admission for diabetes).</w:t>
      </w:r>
    </w:p>
    <w:p w:rsidR="0077342D" w:rsidRDefault="0077342D" w:rsidP="0077342D">
      <w:pPr>
        <w:pStyle w:val="ListParagraph"/>
        <w:numPr>
          <w:ilvl w:val="0"/>
          <w:numId w:val="28"/>
        </w:numPr>
      </w:pPr>
      <w:r>
        <w:t>An ambulatory care sensitive condition (as designated by the Agency for Healthcare Research and Quality, AHRQ), or a chronic problem that may be related to care either during or after the initial admission.</w:t>
      </w:r>
    </w:p>
    <w:p w:rsidR="0077342D" w:rsidRDefault="0077342D" w:rsidP="0077342D">
      <w:pPr>
        <w:pStyle w:val="ListParagraph"/>
        <w:numPr>
          <w:ilvl w:val="0"/>
          <w:numId w:val="28"/>
        </w:numPr>
      </w:pPr>
      <w:r>
        <w:t>An acute medical condition or complication that may be related to or have resulted from care during or after the initial admission.</w:t>
      </w:r>
    </w:p>
    <w:p w:rsidR="0077342D" w:rsidRDefault="0077342D" w:rsidP="0077342D">
      <w:r>
        <w:t>Surgical readmissions were generally considered not preventable unless they met one of the two criteria for a clinical relationship to the Initial Admission:</w:t>
      </w:r>
    </w:p>
    <w:p w:rsidR="0077342D" w:rsidRDefault="0077342D" w:rsidP="0077342D">
      <w:pPr>
        <w:pStyle w:val="ListParagraph"/>
        <w:numPr>
          <w:ilvl w:val="0"/>
          <w:numId w:val="29"/>
        </w:numPr>
        <w:ind w:left="360"/>
      </w:pPr>
      <w:r>
        <w:t>A readmission for a surgical procedure that addressed a continuation or a recurrence of the problem causing the Initial Admission (a patient readmitted for an appendectomy following an Initial Admission for abdominal pain and fever).</w:t>
      </w:r>
    </w:p>
    <w:p w:rsidR="0077342D" w:rsidRDefault="0077342D" w:rsidP="0077342D">
      <w:pPr>
        <w:pStyle w:val="ListParagraph"/>
        <w:numPr>
          <w:ilvl w:val="0"/>
          <w:numId w:val="29"/>
        </w:numPr>
        <w:ind w:left="360"/>
      </w:pPr>
      <w:r>
        <w:t>A readmission for a surgical procedure that addressed a complication resulting from care during the Initial Admission (a readmission for drainage of a post-operative wound abscess following an Initial Admission for a bowel resection).</w:t>
      </w:r>
    </w:p>
    <w:p w:rsidR="0077342D" w:rsidRDefault="0077342D" w:rsidP="0077342D">
      <w:r>
        <w:t xml:space="preserve">Readmissions for mental health or substance abuse reasons will be considered clinically related regardless of the diagnoses for the initial admission: </w:t>
      </w:r>
    </w:p>
    <w:p w:rsidR="0077342D" w:rsidRDefault="0077342D" w:rsidP="0077342D">
      <w:pPr>
        <w:pStyle w:val="ListParagraph"/>
        <w:numPr>
          <w:ilvl w:val="0"/>
          <w:numId w:val="29"/>
        </w:numPr>
        <w:ind w:left="360"/>
      </w:pPr>
      <w:r>
        <w:t>Readmission for mental health reasons following an initial admission for a non-mental health, non-substance abuse reason.</w:t>
      </w:r>
    </w:p>
    <w:p w:rsidR="0077342D" w:rsidRDefault="0077342D" w:rsidP="0077342D">
      <w:pPr>
        <w:pStyle w:val="ListParagraph"/>
        <w:numPr>
          <w:ilvl w:val="0"/>
          <w:numId w:val="29"/>
        </w:numPr>
        <w:ind w:left="360"/>
      </w:pPr>
      <w:r>
        <w:t>Readmission for a substance abuse diagnosis reason following an initial admission for a non-mental health, non-substance abuse reason.</w:t>
      </w:r>
    </w:p>
    <w:p w:rsidR="0077342D" w:rsidRDefault="0077342D" w:rsidP="0077342D">
      <w:pPr>
        <w:pStyle w:val="ListParagraph"/>
        <w:numPr>
          <w:ilvl w:val="0"/>
          <w:numId w:val="29"/>
        </w:numPr>
        <w:ind w:left="360"/>
      </w:pPr>
      <w:r>
        <w:t>Mental health or substance abuse readmission following an initial admission for a substance abuse or mental health diagnosis.</w:t>
      </w:r>
    </w:p>
    <w:p w:rsidR="00D0262F" w:rsidRDefault="00D0262F" w:rsidP="00C55385">
      <w:r w:rsidRPr="00D0262F">
        <w:t>A readmission that did not fit one of these categories (e.g., a readmission for trauma</w:t>
      </w:r>
      <w:r>
        <w:t>) is</w:t>
      </w:r>
      <w:r w:rsidRPr="00D0262F">
        <w:t xml:space="preserve"> classified as a clinically-unrelated readmission and</w:t>
      </w:r>
      <w:r w:rsidR="002D4BE8">
        <w:t>,</w:t>
      </w:r>
      <w:r w:rsidRPr="00D0262F">
        <w:t xml:space="preserve"> therefore</w:t>
      </w:r>
      <w:r w:rsidR="002D4BE8">
        <w:t>,</w:t>
      </w:r>
      <w:r w:rsidRPr="00D0262F">
        <w:t xml:space="preserve"> not potentially preventable (i.e. not a PPR).</w:t>
      </w:r>
    </w:p>
    <w:p w:rsidR="00D0262F" w:rsidRDefault="00D0262F" w:rsidP="00C55385">
      <w:r w:rsidRPr="00E12811">
        <w:t xml:space="preserve">A </w:t>
      </w:r>
      <w:r w:rsidRPr="00D0262F">
        <w:t>readmission that is not clinically-related to the Initial Admission in a readmission chain</w:t>
      </w:r>
      <w:r>
        <w:t xml:space="preserve"> </w:t>
      </w:r>
      <w:r w:rsidRPr="00D0262F">
        <w:t>terminates the readmission chain</w:t>
      </w:r>
      <w:r w:rsidR="00421BB0">
        <w:t xml:space="preserve">. </w:t>
      </w:r>
      <w:r w:rsidRPr="00D0262F">
        <w:t>A readmission that has a discharge status of transferred to an</w:t>
      </w:r>
      <w:r>
        <w:t xml:space="preserve"> </w:t>
      </w:r>
      <w:r w:rsidRPr="00D0262F">
        <w:t>acute care hospital, left against medical advice or died terminates a readmission chain</w:t>
      </w:r>
      <w:r>
        <w:t>.</w:t>
      </w:r>
    </w:p>
    <w:p w:rsidR="00847738" w:rsidRDefault="00D0262F" w:rsidP="00C55385">
      <w:r w:rsidRPr="00D0262F">
        <w:t xml:space="preserve">Since a hospital PPR rate can be influenced by a hospital’s mix of patient types and patient severity of illness during the Initial Admission, PPR </w:t>
      </w:r>
      <w:r w:rsidR="00424E8D">
        <w:t xml:space="preserve">weights </w:t>
      </w:r>
      <w:r w:rsidRPr="00D0262F">
        <w:t>are adjusted for case mix and severity of illness</w:t>
      </w:r>
      <w:r w:rsidR="00421BB0">
        <w:t xml:space="preserve">. </w:t>
      </w:r>
      <w:r w:rsidRPr="00D0262F">
        <w:t>Higher than expected</w:t>
      </w:r>
      <w:r w:rsidR="00424E8D">
        <w:t xml:space="preserve"> PPR weights</w:t>
      </w:r>
      <w:r w:rsidRPr="00D0262F">
        <w:t xml:space="preserve"> can be an indicator of quality of care problems during the initial hospital stay </w:t>
      </w:r>
      <w:r w:rsidRPr="00D0262F">
        <w:lastRenderedPageBreak/>
        <w:t>or with the coordination of care between the inpatient and outpatient setting.</w:t>
      </w:r>
      <w:r w:rsidR="008C5D56">
        <w:t xml:space="preserve"> Using relative weights for PPR calculation</w:t>
      </w:r>
      <w:r w:rsidR="008C5D56" w:rsidRPr="008D3FB5">
        <w:t xml:space="preserve"> </w:t>
      </w:r>
      <w:r w:rsidR="008C5D56">
        <w:t>is important because not all PPR</w:t>
      </w:r>
      <w:r w:rsidR="008C5D56" w:rsidRPr="008D3FB5">
        <w:t xml:space="preserve"> have the same r</w:t>
      </w:r>
      <w:r w:rsidR="008C5D56">
        <w:t>esource costs. High resource PPR</w:t>
      </w:r>
      <w:r w:rsidR="008C5D56" w:rsidRPr="008D3FB5">
        <w:t xml:space="preserve"> should weigh more </w:t>
      </w:r>
      <w:r w:rsidR="008C5D56">
        <w:t>than lower resource PPR</w:t>
      </w:r>
      <w:r w:rsidR="008C5D56" w:rsidRPr="008D3FB5">
        <w:t xml:space="preserve"> so tha</w:t>
      </w:r>
      <w:r w:rsidR="008C5D56">
        <w:t>t a calculated excess in the PPR</w:t>
      </w:r>
      <w:r w:rsidR="008C5D56" w:rsidRPr="008D3FB5">
        <w:t xml:space="preserve"> rate reflects waste more accurately.</w:t>
      </w:r>
    </w:p>
    <w:p w:rsidR="00A81054" w:rsidRDefault="00C55385" w:rsidP="00C55385">
      <w:r>
        <w:t>T</w:t>
      </w:r>
      <w:r w:rsidRPr="00C55385">
        <w:t xml:space="preserve">he actual PPR </w:t>
      </w:r>
      <w:r w:rsidR="00424E8D">
        <w:t>weight</w:t>
      </w:r>
      <w:r w:rsidRPr="00C55385">
        <w:t xml:space="preserve"> is calculated </w:t>
      </w:r>
      <w:r w:rsidR="00424E8D">
        <w:t xml:space="preserve">as the sum of APR-DRG weights </w:t>
      </w:r>
      <w:r w:rsidR="00B27E84">
        <w:t>(</w:t>
      </w:r>
      <w:r w:rsidR="00B27E84" w:rsidRPr="00B27E84">
        <w:t>Texas specific weights for Grouper 32 APR-DRG, effective 09/01/2015</w:t>
      </w:r>
      <w:r w:rsidR="00B27E84">
        <w:t xml:space="preserve">) </w:t>
      </w:r>
      <w:r w:rsidR="00424E8D">
        <w:t>associated with all PPRs</w:t>
      </w:r>
      <w:r w:rsidR="00B27E84">
        <w:t xml:space="preserve"> a</w:t>
      </w:r>
      <w:r w:rsidRPr="00C55385">
        <w:t xml:space="preserve">s previously described, two or more PPRs can all be related to the same prior Initial Admission in some instances, and will form a readmission chain. If for a given PPR, the preceding admission is itself a PPR, then the most recent readmission is assessed to determine if it is clinically related to the Initial Admission, rather than to the readmission immediately preceding it. If clinically related, the most recent readmission becomes part of the readmission chain related to the Initial Admission that started the readmission chain. </w:t>
      </w:r>
    </w:p>
    <w:p w:rsidR="00A81054" w:rsidRDefault="00847738" w:rsidP="00C55385">
      <w:r w:rsidRPr="00C55385">
        <w:t>A state</w:t>
      </w:r>
      <w:r w:rsidR="00424E8D">
        <w:t xml:space="preserve"> norm </w:t>
      </w:r>
      <w:r w:rsidRPr="00C55385">
        <w:t xml:space="preserve">PPR </w:t>
      </w:r>
      <w:r w:rsidR="00424E8D">
        <w:t>weight</w:t>
      </w:r>
      <w:r w:rsidRPr="00C55385">
        <w:t xml:space="preserve"> is calculated for each base APR DRG and severity level. Then, using indirect rate standardization, for each APR DRG and SOI level within each hospital, the expected </w:t>
      </w:r>
      <w:r w:rsidR="00424E8D">
        <w:t>PPR weight</w:t>
      </w:r>
      <w:r w:rsidRPr="00C55385">
        <w:t xml:space="preserve"> was calculated by multiplying the state </w:t>
      </w:r>
      <w:r w:rsidR="00424E8D">
        <w:t xml:space="preserve">norm </w:t>
      </w:r>
      <w:r w:rsidRPr="00C55385">
        <w:t xml:space="preserve">PPR </w:t>
      </w:r>
      <w:r w:rsidR="00424E8D">
        <w:t>weight</w:t>
      </w:r>
      <w:r w:rsidRPr="00C55385">
        <w:t xml:space="preserve"> for each APR DRG and SOI level by the number of candidate admissions in the hospital in the corresponding APR DRG and SOI level. The </w:t>
      </w:r>
      <w:r w:rsidR="00424E8D">
        <w:t xml:space="preserve">overall </w:t>
      </w:r>
      <w:r w:rsidRPr="00C55385">
        <w:t xml:space="preserve">expected </w:t>
      </w:r>
      <w:r w:rsidR="00424E8D">
        <w:t>PPR weights</w:t>
      </w:r>
      <w:r w:rsidRPr="00C55385">
        <w:t xml:space="preserve"> for the hospital is the expected</w:t>
      </w:r>
      <w:r w:rsidR="00424E8D">
        <w:t xml:space="preserve"> PPR weight</w:t>
      </w:r>
      <w:r w:rsidRPr="00C55385">
        <w:t xml:space="preserve"> for each APR DRG and SOI level, summed over all APR DRG and SOI levels. Since a hospital PPR </w:t>
      </w:r>
      <w:r w:rsidR="00424E8D">
        <w:t>weights</w:t>
      </w:r>
      <w:r w:rsidRPr="00C55385">
        <w:t xml:space="preserve"> can be influenced by its mix of patient types (i.e., base APR DRGs) and patient severity of illness (i.e., SOI level) during the candidate admission, an expected number of PPRs computed in this manner produces a case mix and severity of illness adjusted expected </w:t>
      </w:r>
      <w:r w:rsidR="00424E8D">
        <w:t>PPR weights</w:t>
      </w:r>
      <w:r w:rsidRPr="00C55385">
        <w:t xml:space="preserve"> for each hospital. By comparing the actual and expected</w:t>
      </w:r>
      <w:r w:rsidR="00424E8D">
        <w:t xml:space="preserve"> PPR weights</w:t>
      </w:r>
      <w:r w:rsidRPr="00C55385">
        <w:t xml:space="preserve"> the variation in readmission patterns across hospitals can be assessed. </w:t>
      </w:r>
    </w:p>
    <w:p w:rsidR="00B1465E" w:rsidRPr="0009331B" w:rsidRDefault="00DC20AA" w:rsidP="00A81054">
      <w:pPr>
        <w:pStyle w:val="Heading1"/>
      </w:pPr>
      <w:bookmarkStart w:id="4" w:name="_Toc446329876"/>
      <w:r w:rsidRPr="0009331B">
        <w:t>Section 4</w:t>
      </w:r>
      <w:r w:rsidR="00421BB0">
        <w:t xml:space="preserve">. </w:t>
      </w:r>
      <w:r w:rsidR="00B1465E" w:rsidRPr="0009331B">
        <w:t xml:space="preserve">Guide to the </w:t>
      </w:r>
      <w:r w:rsidR="00DB490D" w:rsidRPr="0009331B">
        <w:t xml:space="preserve">PPR </w:t>
      </w:r>
      <w:r w:rsidR="00B1465E" w:rsidRPr="0009331B">
        <w:t>Facility Report</w:t>
      </w:r>
      <w:bookmarkEnd w:id="4"/>
    </w:p>
    <w:p w:rsidR="005D6148" w:rsidRDefault="005D6148" w:rsidP="005D6148">
      <w:r>
        <w:t xml:space="preserve">Using the 3M™ </w:t>
      </w:r>
      <w:r w:rsidR="001E5C72">
        <w:t>PPR Grouping</w:t>
      </w:r>
      <w:r>
        <w:t xml:space="preserve"> software and methodology (</w:t>
      </w:r>
      <w:r w:rsidR="001E5C72">
        <w:t xml:space="preserve">Version </w:t>
      </w:r>
      <w:r>
        <w:t>201</w:t>
      </w:r>
      <w:r w:rsidR="009B0A52">
        <w:t>5</w:t>
      </w:r>
      <w:r>
        <w:t>.3.0</w:t>
      </w:r>
      <w:r w:rsidR="00424E8D">
        <w:t>, PPR Version 3</w:t>
      </w:r>
      <w:r w:rsidR="004D1E73">
        <w:t>2</w:t>
      </w:r>
      <w:r w:rsidR="00424E8D">
        <w:t>.0</w:t>
      </w:r>
      <w:r w:rsidRPr="00706058">
        <w:t>)</w:t>
      </w:r>
      <w:r>
        <w:t xml:space="preserve">, encounter and eligibility data for Texas Medicaid </w:t>
      </w:r>
      <w:r w:rsidR="00424E8D">
        <w:t xml:space="preserve">and CHIP </w:t>
      </w:r>
      <w:r>
        <w:t>for the 201</w:t>
      </w:r>
      <w:r w:rsidR="009B0A52">
        <w:t>4</w:t>
      </w:r>
      <w:r>
        <w:t xml:space="preserve"> service year was used to calculate facility rates for PPRs.</w:t>
      </w:r>
    </w:p>
    <w:p w:rsidR="00A81054" w:rsidRDefault="00A81054" w:rsidP="00A81054">
      <w:r>
        <w:t>Low volume providers can affect the reliability and interpretability of provider based summary statistics such as statewide percentile rankings. Providers meeting any of the following criteria were considered low volume and are excluded from percentile calculations:</w:t>
      </w:r>
    </w:p>
    <w:p w:rsidR="00A81054" w:rsidRDefault="00A81054" w:rsidP="00A81054">
      <w:pPr>
        <w:pStyle w:val="ListParagraph"/>
        <w:numPr>
          <w:ilvl w:val="0"/>
          <w:numId w:val="22"/>
        </w:numPr>
      </w:pPr>
      <w:r>
        <w:t>Less than 40 total admissions at risk for PPR</w:t>
      </w:r>
      <w:r w:rsidR="009B0A52">
        <w:t xml:space="preserve"> or</w:t>
      </w:r>
    </w:p>
    <w:p w:rsidR="00A81054" w:rsidRDefault="00A81054" w:rsidP="00A81054">
      <w:pPr>
        <w:pStyle w:val="ListParagraph"/>
        <w:numPr>
          <w:ilvl w:val="0"/>
          <w:numId w:val="22"/>
        </w:numPr>
      </w:pPr>
      <w:r>
        <w:t>Less than 5 actual PPR</w:t>
      </w:r>
      <w:r w:rsidR="007C3F46">
        <w:t xml:space="preserve"> chains</w:t>
      </w:r>
      <w:r w:rsidR="009B0A52">
        <w:t xml:space="preserve"> or</w:t>
      </w:r>
    </w:p>
    <w:p w:rsidR="00A81054" w:rsidRPr="00E93DB8" w:rsidRDefault="00A81054" w:rsidP="005D6148">
      <w:pPr>
        <w:pStyle w:val="ListParagraph"/>
        <w:numPr>
          <w:ilvl w:val="0"/>
          <w:numId w:val="22"/>
        </w:numPr>
      </w:pPr>
      <w:r>
        <w:t>Less than 5 expected  PPR</w:t>
      </w:r>
      <w:r w:rsidR="007C3F46">
        <w:t xml:space="preserve"> chains</w:t>
      </w:r>
    </w:p>
    <w:p w:rsidR="00A81054" w:rsidRDefault="00A81054" w:rsidP="00A81054">
      <w:pPr>
        <w:pStyle w:val="Heading4"/>
      </w:pPr>
      <w:bookmarkStart w:id="5" w:name="_Toc385421315"/>
      <w:r>
        <w:t>Hospital</w:t>
      </w:r>
    </w:p>
    <w:p w:rsidR="00A81054" w:rsidRDefault="00A81054" w:rsidP="00A81054">
      <w:r>
        <w:t>The hospital name associated with the NPI in the HHSC provider table.</w:t>
      </w:r>
    </w:p>
    <w:p w:rsidR="00A81054" w:rsidRDefault="00A81054" w:rsidP="00A81054">
      <w:pPr>
        <w:pStyle w:val="Heading4"/>
      </w:pPr>
      <w:r>
        <w:t>NPI</w:t>
      </w:r>
    </w:p>
    <w:p w:rsidR="00A81054" w:rsidRDefault="00A81054" w:rsidP="00A81054">
      <w:r>
        <w:t>The NPI associated with the hospital, and identified as the billing provider in the encounters attributed to the provider and included in the provider results.</w:t>
      </w:r>
    </w:p>
    <w:p w:rsidR="00424E8D" w:rsidRDefault="00424E8D" w:rsidP="00424E8D">
      <w:pPr>
        <w:pStyle w:val="Heading4"/>
      </w:pPr>
      <w:r>
        <w:lastRenderedPageBreak/>
        <w:t>TPI</w:t>
      </w:r>
    </w:p>
    <w:p w:rsidR="000770D1" w:rsidRDefault="003063E8" w:rsidP="000770D1">
      <w:r w:rsidRPr="003063E8">
        <w:t>The TPIs corresponding to the hospital NPI based on the crosswalk provided by Texas Medicaid Healthcare Partnership (TMHP)</w:t>
      </w:r>
      <w:r>
        <w:t xml:space="preserve"> and DSRIP team</w:t>
      </w:r>
      <w:r w:rsidRPr="003063E8">
        <w:t>.</w:t>
      </w:r>
    </w:p>
    <w:p w:rsidR="00C55385" w:rsidRPr="00330910" w:rsidRDefault="00C55385" w:rsidP="00C55385">
      <w:pPr>
        <w:pStyle w:val="Heading3"/>
        <w:spacing w:before="360"/>
      </w:pPr>
      <w:bookmarkStart w:id="6" w:name="_Toc446329877"/>
      <w:r>
        <w:t>PPR Expenditures (Provider Results)</w:t>
      </w:r>
      <w:bookmarkEnd w:id="5"/>
      <w:bookmarkEnd w:id="6"/>
    </w:p>
    <w:p w:rsidR="008851A9" w:rsidRDefault="00E95F2A" w:rsidP="00A81054">
      <w:pPr>
        <w:pStyle w:val="Heading4"/>
      </w:pPr>
      <w:r>
        <w:t>Total Admissions at Risk for PPR</w:t>
      </w:r>
    </w:p>
    <w:p w:rsidR="008851A9" w:rsidRDefault="008851A9">
      <w:r>
        <w:t xml:space="preserve">All </w:t>
      </w:r>
      <w:r w:rsidR="00A31A6F">
        <w:t xml:space="preserve">encounters with bill type = ‘11x’, ’12x’, ‘41x’ </w:t>
      </w:r>
      <w:r w:rsidR="00E95F2A">
        <w:t xml:space="preserve">minus the global exclusions </w:t>
      </w:r>
      <w:r w:rsidR="005D6148">
        <w:t xml:space="preserve">and non-events </w:t>
      </w:r>
      <w:r w:rsidR="00E95F2A">
        <w:t>per the software.</w:t>
      </w:r>
      <w:r w:rsidR="00B21935">
        <w:t xml:space="preserve"> Ad</w:t>
      </w:r>
      <w:r w:rsidR="009B0A52">
        <w:t>missions between January 1, 2014 and November 30, 2014</w:t>
      </w:r>
      <w:r w:rsidR="00B21935">
        <w:t xml:space="preserve"> were evaluated. </w:t>
      </w:r>
      <w:r w:rsidR="00B27E84" w:rsidRPr="00B27E84">
        <w:t xml:space="preserve">The last </w:t>
      </w:r>
      <w:r w:rsidR="00B27E84">
        <w:t>month of the calendar</w:t>
      </w:r>
      <w:r w:rsidR="00B27E84" w:rsidRPr="00B27E84">
        <w:t xml:space="preserve"> year </w:t>
      </w:r>
      <w:r w:rsidR="00B27E84">
        <w:t>are excluded to allow for the 30</w:t>
      </w:r>
      <w:r w:rsidR="00B27E84" w:rsidRPr="00B27E84">
        <w:t xml:space="preserve"> days readmission window</w:t>
      </w:r>
      <w:r w:rsidR="00B27E84">
        <w:t>.</w:t>
      </w:r>
    </w:p>
    <w:p w:rsidR="006D6AB6" w:rsidRDefault="006D6AB6" w:rsidP="00A81054">
      <w:pPr>
        <w:pStyle w:val="Heading4"/>
      </w:pPr>
      <w:r>
        <w:t>Actual Number of PPR Chains</w:t>
      </w:r>
    </w:p>
    <w:p w:rsidR="008938F5" w:rsidRPr="008938F5" w:rsidRDefault="008938F5" w:rsidP="008938F5">
      <w:r>
        <w:t>A readmission chain is a sequence of PPRs that are all clinically related to the Initial Admission</w:t>
      </w:r>
      <w:r w:rsidR="00421BB0">
        <w:t xml:space="preserve">. </w:t>
      </w:r>
      <w:r>
        <w:t xml:space="preserve">A readmission chain may contain an Initial Admission and only one PPR, which is the most common situation, or may contain multiple PPRs following the Initial </w:t>
      </w:r>
      <w:r w:rsidR="00DB490D">
        <w:t>Admission.</w:t>
      </w:r>
    </w:p>
    <w:p w:rsidR="003063E8" w:rsidRDefault="003063E8" w:rsidP="003063E8">
      <w:pPr>
        <w:pStyle w:val="Heading4"/>
      </w:pPr>
      <w:r>
        <w:t>Actual PPR Weights</w:t>
      </w:r>
    </w:p>
    <w:p w:rsidR="003063E8" w:rsidRDefault="003063E8" w:rsidP="000770D1">
      <w:r>
        <w:t>The sum of APR-DRG weights (</w:t>
      </w:r>
      <w:r w:rsidR="009B0A52" w:rsidRPr="00B75B18">
        <w:t>Texas specific weights for Grouper 32 APR-DRG, effective 09/01/2015</w:t>
      </w:r>
      <w:r>
        <w:t>) for all PPRs.</w:t>
      </w:r>
    </w:p>
    <w:p w:rsidR="003063E8" w:rsidRDefault="003063E8" w:rsidP="003063E8">
      <w:pPr>
        <w:pStyle w:val="Heading4"/>
      </w:pPr>
      <w:r>
        <w:t>Expected PPR Weights</w:t>
      </w:r>
    </w:p>
    <w:p w:rsidR="003063E8" w:rsidRDefault="003063E8" w:rsidP="00195486">
      <w:r>
        <w:t>Expected PPR weights reflects the sum of APR-DRG weights that would be expected based on your hospital’s  case mix, calculated based on APR-DRG (including severity of illness), the presence or absence of a major mental health or substance abuse comorbidity, and patient age.</w:t>
      </w:r>
    </w:p>
    <w:p w:rsidR="00DB490D" w:rsidRPr="00A81054" w:rsidRDefault="00DB490D" w:rsidP="00A81054">
      <w:pPr>
        <w:pStyle w:val="Heading4"/>
      </w:pPr>
      <w:r w:rsidRPr="00A81054">
        <w:t xml:space="preserve">Actual to Expected </w:t>
      </w:r>
      <w:r w:rsidR="00A81054" w:rsidRPr="00A81054">
        <w:t>Ratio</w:t>
      </w:r>
      <w:r w:rsidR="003063E8">
        <w:t xml:space="preserve"> for PPR Weights</w:t>
      </w:r>
    </w:p>
    <w:p w:rsidR="00DB490D" w:rsidRDefault="00DB490D" w:rsidP="00195486">
      <w:r>
        <w:t xml:space="preserve">The ratio of the actual PPR </w:t>
      </w:r>
      <w:r w:rsidR="003063E8">
        <w:t>weights</w:t>
      </w:r>
      <w:r>
        <w:t xml:space="preserve"> to the expected </w:t>
      </w:r>
      <w:r w:rsidR="003063E8">
        <w:t>PPR weights</w:t>
      </w:r>
      <w:r>
        <w:t xml:space="preserve"> indicates the performance of the hospital relative to the overall </w:t>
      </w:r>
      <w:r w:rsidR="003063E8">
        <w:t>performance</w:t>
      </w:r>
      <w:r>
        <w:t xml:space="preserve"> for all hospitals in Texas.</w:t>
      </w:r>
    </w:p>
    <w:p w:rsidR="007C3F46" w:rsidRPr="008C5A09" w:rsidRDefault="007C3F46" w:rsidP="007C3F46">
      <w:pPr>
        <w:pStyle w:val="Heading4"/>
        <w:rPr>
          <w:rFonts w:asciiTheme="minorHAnsi" w:hAnsiTheme="minorHAnsi"/>
          <w:sz w:val="26"/>
          <w:szCs w:val="26"/>
        </w:rPr>
      </w:pPr>
      <w:r w:rsidRPr="008C5A09">
        <w:rPr>
          <w:rFonts w:asciiTheme="minorHAnsi" w:hAnsiTheme="minorHAnsi"/>
          <w:sz w:val="26"/>
          <w:szCs w:val="26"/>
        </w:rPr>
        <w:t>Members with PP</w:t>
      </w:r>
      <w:r>
        <w:rPr>
          <w:rFonts w:asciiTheme="minorHAnsi" w:hAnsiTheme="minorHAnsi"/>
          <w:sz w:val="26"/>
          <w:szCs w:val="26"/>
        </w:rPr>
        <w:t>R</w:t>
      </w:r>
      <w:r w:rsidRPr="008C5A09">
        <w:rPr>
          <w:rFonts w:asciiTheme="minorHAnsi" w:hAnsiTheme="minorHAnsi"/>
          <w:sz w:val="26"/>
          <w:szCs w:val="26"/>
        </w:rPr>
        <w:t>s</w:t>
      </w:r>
    </w:p>
    <w:p w:rsidR="007C3F46" w:rsidRPr="008C5A09" w:rsidRDefault="007C3F46" w:rsidP="007C3F46">
      <w:r w:rsidRPr="008C5A09">
        <w:t>Number of uniqu</w:t>
      </w:r>
      <w:r>
        <w:t>e clients with PPR</w:t>
      </w:r>
      <w:r w:rsidRPr="008C5A09">
        <w:t>s</w:t>
      </w:r>
      <w:r w:rsidR="003063E8">
        <w:t>.</w:t>
      </w:r>
    </w:p>
    <w:p w:rsidR="007C3F46" w:rsidRPr="008C5A09" w:rsidRDefault="007C3F46" w:rsidP="007C3F46">
      <w:pPr>
        <w:pStyle w:val="Heading4"/>
        <w:rPr>
          <w:rFonts w:asciiTheme="minorHAnsi" w:hAnsiTheme="minorHAnsi"/>
          <w:sz w:val="26"/>
          <w:szCs w:val="26"/>
        </w:rPr>
      </w:pPr>
      <w:r w:rsidRPr="008C5A09">
        <w:rPr>
          <w:rFonts w:asciiTheme="minorHAnsi" w:hAnsiTheme="minorHAnsi"/>
          <w:sz w:val="26"/>
          <w:szCs w:val="26"/>
        </w:rPr>
        <w:t>Actual PP</w:t>
      </w:r>
      <w:r>
        <w:rPr>
          <w:rFonts w:asciiTheme="minorHAnsi" w:hAnsiTheme="minorHAnsi"/>
          <w:sz w:val="26"/>
          <w:szCs w:val="26"/>
        </w:rPr>
        <w:t>R</w:t>
      </w:r>
      <w:r w:rsidRPr="008C5A09">
        <w:rPr>
          <w:rFonts w:asciiTheme="minorHAnsi" w:hAnsiTheme="minorHAnsi"/>
          <w:sz w:val="26"/>
          <w:szCs w:val="26"/>
        </w:rPr>
        <w:t xml:space="preserve"> Expenditures</w:t>
      </w:r>
    </w:p>
    <w:p w:rsidR="007C3F46" w:rsidRPr="008C5A09" w:rsidRDefault="007C3F46" w:rsidP="007C3F46">
      <w:r>
        <w:t>Sum of payment</w:t>
      </w:r>
      <w:r w:rsidRPr="008C5A09">
        <w:t xml:space="preserve"> amo</w:t>
      </w:r>
      <w:r>
        <w:t>unts for PPR</w:t>
      </w:r>
      <w:r w:rsidRPr="008C5A09">
        <w:t>s</w:t>
      </w:r>
      <w:r w:rsidR="003063E8">
        <w:t>.</w:t>
      </w:r>
    </w:p>
    <w:p w:rsidR="007C3F46" w:rsidRPr="008C5A09" w:rsidRDefault="007C3F46" w:rsidP="007C3F46">
      <w:pPr>
        <w:pStyle w:val="Heading4"/>
        <w:rPr>
          <w:rFonts w:asciiTheme="minorHAnsi" w:hAnsiTheme="minorHAnsi"/>
          <w:sz w:val="26"/>
          <w:szCs w:val="26"/>
        </w:rPr>
      </w:pPr>
      <w:r>
        <w:rPr>
          <w:rFonts w:asciiTheme="minorHAnsi" w:hAnsiTheme="minorHAnsi"/>
          <w:sz w:val="26"/>
          <w:szCs w:val="26"/>
        </w:rPr>
        <w:t>Expected PPR</w:t>
      </w:r>
      <w:r w:rsidRPr="008C5A09">
        <w:rPr>
          <w:rFonts w:asciiTheme="minorHAnsi" w:hAnsiTheme="minorHAnsi"/>
          <w:sz w:val="26"/>
          <w:szCs w:val="26"/>
        </w:rPr>
        <w:t xml:space="preserve"> Expenditures</w:t>
      </w:r>
    </w:p>
    <w:p w:rsidR="007C3F46" w:rsidRPr="008C5A09" w:rsidRDefault="007C3F46" w:rsidP="007C3F46">
      <w:r>
        <w:t>The State norm PPR</w:t>
      </w:r>
      <w:r w:rsidRPr="008C5A09">
        <w:t xml:space="preserve"> expenditure (sum of paid amounts divided by </w:t>
      </w:r>
      <w:r>
        <w:t>total number of at-risk admissions</w:t>
      </w:r>
      <w:r w:rsidRPr="008C5A09">
        <w:t>, statewide) times the ’</w:t>
      </w:r>
      <w:r>
        <w:t>Total Admissions at Risk for PPR</w:t>
      </w:r>
      <w:r w:rsidRPr="008C5A09">
        <w:t>’</w:t>
      </w:r>
      <w:r w:rsidR="003063E8">
        <w:t>.</w:t>
      </w:r>
    </w:p>
    <w:p w:rsidR="007C3F46" w:rsidRPr="008C5A09" w:rsidRDefault="007C3F46" w:rsidP="007C3F46">
      <w:pPr>
        <w:pStyle w:val="Heading4"/>
        <w:rPr>
          <w:rFonts w:asciiTheme="minorHAnsi" w:hAnsiTheme="minorHAnsi"/>
          <w:sz w:val="26"/>
          <w:szCs w:val="26"/>
        </w:rPr>
      </w:pPr>
      <w:r w:rsidRPr="008C5A09">
        <w:rPr>
          <w:rFonts w:asciiTheme="minorHAnsi" w:hAnsiTheme="minorHAnsi"/>
          <w:sz w:val="26"/>
          <w:szCs w:val="26"/>
        </w:rPr>
        <w:t>Actual-to-Expected</w:t>
      </w:r>
      <w:r>
        <w:rPr>
          <w:rFonts w:asciiTheme="minorHAnsi" w:hAnsiTheme="minorHAnsi"/>
          <w:sz w:val="26"/>
          <w:szCs w:val="26"/>
        </w:rPr>
        <w:t xml:space="preserve"> Ratio for PPR</w:t>
      </w:r>
      <w:r w:rsidRPr="008C5A09">
        <w:rPr>
          <w:rFonts w:asciiTheme="minorHAnsi" w:hAnsiTheme="minorHAnsi"/>
          <w:sz w:val="26"/>
          <w:szCs w:val="26"/>
        </w:rPr>
        <w:t xml:space="preserve"> Expenditures</w:t>
      </w:r>
    </w:p>
    <w:p w:rsidR="007C3F46" w:rsidRDefault="007C3F46" w:rsidP="007C3F46">
      <w:r>
        <w:t>‘Actual PPR Expenditures’ divided by ‘Expected PPR Expenditures’</w:t>
      </w:r>
    </w:p>
    <w:p w:rsidR="007C3F46" w:rsidRDefault="007C3F46" w:rsidP="00195486"/>
    <w:p w:rsidR="005B1353" w:rsidRDefault="005B1353" w:rsidP="005B1353">
      <w:pPr>
        <w:pStyle w:val="Heading3"/>
      </w:pPr>
      <w:bookmarkStart w:id="7" w:name="_Toc385404786"/>
      <w:bookmarkStart w:id="8" w:name="_Toc446329878"/>
      <w:r>
        <w:lastRenderedPageBreak/>
        <w:t xml:space="preserve">State-Wide </w:t>
      </w:r>
      <w:r w:rsidR="003063E8">
        <w:t xml:space="preserve">Provider </w:t>
      </w:r>
      <w:r>
        <w:t xml:space="preserve">PPR </w:t>
      </w:r>
      <w:r w:rsidR="003063E8">
        <w:t>Weights</w:t>
      </w:r>
      <w:bookmarkEnd w:id="7"/>
      <w:bookmarkEnd w:id="8"/>
    </w:p>
    <w:p w:rsidR="005B1353" w:rsidRDefault="005B1353" w:rsidP="005B1353">
      <w:pPr>
        <w:pStyle w:val="Heading4"/>
      </w:pPr>
      <w:r>
        <w:t>State Norm</w:t>
      </w:r>
    </w:p>
    <w:p w:rsidR="005B1353" w:rsidRDefault="001E5C72" w:rsidP="005B1353">
      <w:r>
        <w:t xml:space="preserve">This is the </w:t>
      </w:r>
      <w:r w:rsidR="00195486">
        <w:t xml:space="preserve">sum of </w:t>
      </w:r>
      <w:r w:rsidR="003063E8">
        <w:t>PPR weights</w:t>
      </w:r>
      <w:r w:rsidR="00195486">
        <w:t xml:space="preserve"> divided </w:t>
      </w:r>
      <w:r w:rsidR="005B1353">
        <w:t>by the sum of at risk admissions statewide</w:t>
      </w:r>
      <w:r w:rsidR="003063E8">
        <w:t xml:space="preserve"> times 1000</w:t>
      </w:r>
      <w:r w:rsidR="005B1353">
        <w:t>. Data from all providers is included in the State Norm</w:t>
      </w:r>
      <w:r w:rsidR="00C35603">
        <w:t>.</w:t>
      </w:r>
    </w:p>
    <w:p w:rsidR="005B1353" w:rsidRDefault="005B1353" w:rsidP="005B1353">
      <w:pPr>
        <w:pStyle w:val="Heading4"/>
      </w:pPr>
      <w:r>
        <w:t>Percentiles</w:t>
      </w:r>
    </w:p>
    <w:p w:rsidR="005B1353" w:rsidRDefault="005B1353" w:rsidP="005B1353">
      <w:r>
        <w:t xml:space="preserve">Calculated from </w:t>
      </w:r>
      <w:r w:rsidR="009B0A52">
        <w:t>’Actual PPR Weights p</w:t>
      </w:r>
      <w:r w:rsidR="003063E8">
        <w:t>er 1,000 at Risk Admissions’</w:t>
      </w:r>
      <w:r>
        <w:t xml:space="preserve"> for all providers excluding those identified as low volume providers.</w:t>
      </w:r>
    </w:p>
    <w:p w:rsidR="00A81054" w:rsidRDefault="00A81054" w:rsidP="00A81054">
      <w:pPr>
        <w:pStyle w:val="Heading3"/>
        <w:spacing w:before="360"/>
      </w:pPr>
      <w:bookmarkStart w:id="9" w:name="_Toc385421317"/>
      <w:bookmarkStart w:id="10" w:name="_Toc446329879"/>
      <w:r>
        <w:t>State-Wide Provider Distributions</w:t>
      </w:r>
      <w:bookmarkEnd w:id="9"/>
      <w:bookmarkEnd w:id="10"/>
    </w:p>
    <w:p w:rsidR="00A81054" w:rsidRDefault="00A81054" w:rsidP="00A81054">
      <w:pPr>
        <w:pStyle w:val="Heading4"/>
      </w:pPr>
      <w:r>
        <w:t>Percentiles</w:t>
      </w:r>
    </w:p>
    <w:p w:rsidR="00A81054" w:rsidRDefault="00A81054" w:rsidP="00A81054">
      <w:r>
        <w:t xml:space="preserve">Calculated from </w:t>
      </w:r>
      <w:r w:rsidR="003063E8">
        <w:t xml:space="preserve">‘Total Admissions at Risk for PPR’, </w:t>
      </w:r>
      <w:r>
        <w:t>‘Actual Number of PPR Chains</w:t>
      </w:r>
      <w:r w:rsidR="003063E8">
        <w:t>’</w:t>
      </w:r>
      <w:r>
        <w:t>, ‘Members with PPRs’, and ‘Number of PPR Events’ for all providers excluding those identified as low volume providers.</w:t>
      </w:r>
    </w:p>
    <w:p w:rsidR="00CF4C77" w:rsidRPr="0009331B" w:rsidRDefault="00CF4C77" w:rsidP="000770D1">
      <w:pPr>
        <w:pStyle w:val="Heading3"/>
        <w:spacing w:before="360"/>
      </w:pPr>
      <w:bookmarkStart w:id="11" w:name="_Toc446329880"/>
      <w:r w:rsidRPr="0009331B">
        <w:t>PPR Results by Category</w:t>
      </w:r>
      <w:bookmarkEnd w:id="11"/>
    </w:p>
    <w:p w:rsidR="00CF4C77" w:rsidRDefault="00CF4C77" w:rsidP="00A81054">
      <w:pPr>
        <w:pStyle w:val="Heading4"/>
      </w:pPr>
      <w:r>
        <w:t>Category</w:t>
      </w:r>
    </w:p>
    <w:p w:rsidR="00CF4C77" w:rsidRDefault="00CF4C77" w:rsidP="00CF4C77">
      <w:r>
        <w:t>Categories are identified by APR-DRG</w:t>
      </w:r>
    </w:p>
    <w:tbl>
      <w:tblPr>
        <w:tblStyle w:val="LightShading"/>
        <w:tblW w:w="7555" w:type="dxa"/>
        <w:jc w:val="center"/>
        <w:tblLook w:val="04A0" w:firstRow="1" w:lastRow="0" w:firstColumn="1" w:lastColumn="0" w:noHBand="0" w:noVBand="1"/>
      </w:tblPr>
      <w:tblGrid>
        <w:gridCol w:w="4675"/>
        <w:gridCol w:w="2880"/>
      </w:tblGrid>
      <w:tr w:rsidR="007C3F46" w:rsidRPr="004627DB" w:rsidTr="00D0262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tcPr>
          <w:p w:rsidR="007C3F46" w:rsidRPr="004627DB" w:rsidRDefault="007C3F46" w:rsidP="00D0262F">
            <w:pPr>
              <w:rPr>
                <w:rFonts w:ascii="Calibri" w:eastAsia="Times New Roman" w:hAnsi="Calibri" w:cs="Times New Roman"/>
                <w:color w:val="000000"/>
              </w:rPr>
            </w:pPr>
            <w:r>
              <w:rPr>
                <w:rFonts w:ascii="Calibri" w:eastAsia="Times New Roman" w:hAnsi="Calibri" w:cs="Times New Roman"/>
                <w:color w:val="000000"/>
              </w:rPr>
              <w:t>Category</w:t>
            </w:r>
          </w:p>
        </w:tc>
        <w:tc>
          <w:tcPr>
            <w:tcW w:w="2880" w:type="dxa"/>
          </w:tcPr>
          <w:p w:rsidR="007C3F46" w:rsidRPr="004627DB" w:rsidRDefault="007C3F46" w:rsidP="00D0262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APR-DRG</w:t>
            </w:r>
          </w:p>
        </w:tc>
      </w:tr>
      <w:tr w:rsidR="007C3F46" w:rsidRPr="004627DB" w:rsidTr="00D026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sidRPr="004627DB">
              <w:rPr>
                <w:rFonts w:ascii="Calibri" w:eastAsia="Times New Roman" w:hAnsi="Calibri" w:cs="Times New Roman"/>
                <w:color w:val="000000"/>
              </w:rPr>
              <w:t>CHF (Congestive Heart Failure)</w:t>
            </w:r>
          </w:p>
        </w:tc>
        <w:tc>
          <w:tcPr>
            <w:tcW w:w="2880" w:type="dxa"/>
            <w:hideMark/>
          </w:tcPr>
          <w:p w:rsidR="007C3F46" w:rsidRPr="004627DB" w:rsidRDefault="007C3F46" w:rsidP="00D026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194</w:t>
            </w:r>
            <w:r>
              <w:rPr>
                <w:rFonts w:ascii="Calibri" w:eastAsia="Times New Roman" w:hAnsi="Calibri" w:cs="Times New Roman"/>
                <w:color w:val="000000"/>
              </w:rPr>
              <w:t>, 205</w:t>
            </w:r>
          </w:p>
        </w:tc>
      </w:tr>
      <w:tr w:rsidR="007C3F46" w:rsidRPr="004627DB" w:rsidTr="00D0262F">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sidRPr="004627DB">
              <w:rPr>
                <w:rFonts w:ascii="Calibri" w:eastAsia="Times New Roman" w:hAnsi="Calibri" w:cs="Times New Roman"/>
                <w:color w:val="000000"/>
              </w:rPr>
              <w:t>DM (Diabetes)</w:t>
            </w:r>
          </w:p>
        </w:tc>
        <w:tc>
          <w:tcPr>
            <w:tcW w:w="2880" w:type="dxa"/>
            <w:hideMark/>
          </w:tcPr>
          <w:p w:rsidR="007C3F46" w:rsidRPr="004627DB" w:rsidRDefault="007C3F46" w:rsidP="00D026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305, 405, 420</w:t>
            </w:r>
          </w:p>
        </w:tc>
      </w:tr>
      <w:tr w:rsidR="007C3F46" w:rsidRPr="004627DB" w:rsidTr="00D026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sidRPr="004627DB">
              <w:rPr>
                <w:rFonts w:ascii="Calibri" w:eastAsia="Times New Roman" w:hAnsi="Calibri" w:cs="Times New Roman"/>
                <w:color w:val="000000"/>
              </w:rPr>
              <w:t>BH/SA (Behavioral Health or Substance Abuse)</w:t>
            </w:r>
          </w:p>
        </w:tc>
        <w:tc>
          <w:tcPr>
            <w:tcW w:w="2880" w:type="dxa"/>
            <w:hideMark/>
          </w:tcPr>
          <w:p w:rsidR="007C3F46" w:rsidRPr="004627DB" w:rsidRDefault="007C3F46" w:rsidP="00CF4C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 xml:space="preserve"> </w:t>
            </w:r>
            <w:r>
              <w:t>750, 751, 752, 753, 754, 755, 756, 757, 758, 759, 760, 772, 773, 774, 775, 776</w:t>
            </w:r>
          </w:p>
        </w:tc>
      </w:tr>
      <w:tr w:rsidR="007C3F46" w:rsidRPr="004627DB" w:rsidTr="00D0262F">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sidRPr="004627DB">
              <w:rPr>
                <w:rFonts w:ascii="Calibri" w:eastAsia="Times New Roman" w:hAnsi="Calibri" w:cs="Times New Roman"/>
                <w:color w:val="000000"/>
              </w:rPr>
              <w:t>COPD (Chronic Obstructive Pulmonary Disease)</w:t>
            </w:r>
          </w:p>
        </w:tc>
        <w:tc>
          <w:tcPr>
            <w:tcW w:w="2880" w:type="dxa"/>
            <w:hideMark/>
          </w:tcPr>
          <w:p w:rsidR="007C3F46" w:rsidRPr="004627DB" w:rsidRDefault="007C3F46" w:rsidP="00D026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140</w:t>
            </w:r>
          </w:p>
        </w:tc>
      </w:tr>
      <w:tr w:rsidR="007C3F46" w:rsidRPr="004627DB" w:rsidTr="00D026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Pr>
                <w:rFonts w:ascii="Calibri" w:eastAsia="Times New Roman" w:hAnsi="Calibri" w:cs="Times New Roman"/>
                <w:color w:val="000000"/>
              </w:rPr>
              <w:t>CVA (</w:t>
            </w:r>
            <w:r>
              <w:t>Cerebrovascular Accident</w:t>
            </w:r>
            <w:r>
              <w:rPr>
                <w:rFonts w:ascii="Calibri" w:eastAsia="Times New Roman" w:hAnsi="Calibri" w:cs="Times New Roman"/>
                <w:color w:val="000000"/>
              </w:rPr>
              <w:t>)</w:t>
            </w:r>
          </w:p>
        </w:tc>
        <w:tc>
          <w:tcPr>
            <w:tcW w:w="2880" w:type="dxa"/>
            <w:hideMark/>
          </w:tcPr>
          <w:p w:rsidR="007C3F46" w:rsidRPr="004627DB" w:rsidRDefault="007C3F46" w:rsidP="00D026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044, 045, 046</w:t>
            </w:r>
          </w:p>
        </w:tc>
      </w:tr>
      <w:tr w:rsidR="007C3F46" w:rsidRPr="004627DB" w:rsidTr="00D0262F">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sidRPr="004627DB">
              <w:rPr>
                <w:rFonts w:ascii="Calibri" w:eastAsia="Times New Roman" w:hAnsi="Calibri" w:cs="Times New Roman"/>
                <w:color w:val="000000"/>
              </w:rPr>
              <w:t>Adult Asthma  (Age&gt;18yrs)</w:t>
            </w:r>
          </w:p>
        </w:tc>
        <w:tc>
          <w:tcPr>
            <w:tcW w:w="2880" w:type="dxa"/>
            <w:hideMark/>
          </w:tcPr>
          <w:p w:rsidR="007C3F46" w:rsidRPr="004627DB" w:rsidRDefault="007C3F46" w:rsidP="00D026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141</w:t>
            </w:r>
          </w:p>
        </w:tc>
      </w:tr>
      <w:tr w:rsidR="007C3F46" w:rsidRPr="004627DB" w:rsidTr="00D026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sidRPr="004627DB">
              <w:rPr>
                <w:rFonts w:ascii="Calibri" w:eastAsia="Times New Roman" w:hAnsi="Calibri" w:cs="Times New Roman"/>
                <w:color w:val="000000"/>
              </w:rPr>
              <w:t>Pediatric Asthma  (Age&lt;=18yrs)</w:t>
            </w:r>
          </w:p>
        </w:tc>
        <w:tc>
          <w:tcPr>
            <w:tcW w:w="2880" w:type="dxa"/>
            <w:hideMark/>
          </w:tcPr>
          <w:p w:rsidR="007C3F46" w:rsidRPr="004627DB" w:rsidRDefault="007C3F46" w:rsidP="00D026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141</w:t>
            </w:r>
          </w:p>
        </w:tc>
      </w:tr>
      <w:tr w:rsidR="007C3F46" w:rsidRPr="004627DB" w:rsidTr="00D0262F">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t>AMI (Acute Myocardial Infarction)</w:t>
            </w:r>
          </w:p>
        </w:tc>
        <w:tc>
          <w:tcPr>
            <w:tcW w:w="2880" w:type="dxa"/>
            <w:hideMark/>
          </w:tcPr>
          <w:p w:rsidR="007C3F46" w:rsidRPr="004627DB" w:rsidRDefault="007C3F46" w:rsidP="00D026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190</w:t>
            </w:r>
          </w:p>
        </w:tc>
      </w:tr>
      <w:tr w:rsidR="007C3F46" w:rsidRPr="004627DB" w:rsidTr="00D026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sidRPr="004627DB">
              <w:rPr>
                <w:rFonts w:ascii="Calibri" w:eastAsia="Times New Roman" w:hAnsi="Calibri" w:cs="Times New Roman"/>
                <w:color w:val="000000"/>
              </w:rPr>
              <w:t>CP &amp; CAD (Angina and Coronary Artery Disease)</w:t>
            </w:r>
          </w:p>
        </w:tc>
        <w:tc>
          <w:tcPr>
            <w:tcW w:w="2880" w:type="dxa"/>
            <w:hideMark/>
          </w:tcPr>
          <w:p w:rsidR="007C3F46" w:rsidRPr="004627DB" w:rsidRDefault="007C3F46" w:rsidP="00D026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198, 203</w:t>
            </w:r>
          </w:p>
        </w:tc>
      </w:tr>
      <w:tr w:rsidR="007C3F46" w:rsidRPr="004627DB" w:rsidTr="00D0262F">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sidRPr="004627DB">
              <w:rPr>
                <w:rFonts w:ascii="Calibri" w:eastAsia="Times New Roman" w:hAnsi="Calibri" w:cs="Times New Roman"/>
                <w:color w:val="000000"/>
              </w:rPr>
              <w:t>HTN (Hypertension)</w:t>
            </w:r>
          </w:p>
        </w:tc>
        <w:tc>
          <w:tcPr>
            <w:tcW w:w="2880" w:type="dxa"/>
            <w:hideMark/>
          </w:tcPr>
          <w:p w:rsidR="007C3F46" w:rsidRPr="004627DB" w:rsidRDefault="007C3F46" w:rsidP="00D026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199</w:t>
            </w:r>
          </w:p>
        </w:tc>
      </w:tr>
      <w:tr w:rsidR="007C3F46" w:rsidRPr="004627DB" w:rsidTr="00D026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7C3F46" w:rsidRPr="004627DB" w:rsidRDefault="007C3F46" w:rsidP="00D0262F">
            <w:pPr>
              <w:rPr>
                <w:rFonts w:ascii="Calibri" w:eastAsia="Times New Roman" w:hAnsi="Calibri" w:cs="Times New Roman"/>
                <w:color w:val="000000"/>
              </w:rPr>
            </w:pPr>
            <w:r w:rsidRPr="004627DB">
              <w:rPr>
                <w:rFonts w:ascii="Calibri" w:eastAsia="Times New Roman" w:hAnsi="Calibri" w:cs="Times New Roman"/>
                <w:color w:val="000000"/>
              </w:rPr>
              <w:t>Cellulitis</w:t>
            </w:r>
          </w:p>
        </w:tc>
        <w:tc>
          <w:tcPr>
            <w:tcW w:w="2880" w:type="dxa"/>
            <w:hideMark/>
          </w:tcPr>
          <w:p w:rsidR="007C3F46" w:rsidRPr="004627DB" w:rsidRDefault="007C3F46" w:rsidP="00D026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383</w:t>
            </w:r>
          </w:p>
        </w:tc>
      </w:tr>
      <w:tr w:rsidR="007C3F46" w:rsidRPr="004627DB" w:rsidTr="00D0262F">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tcPr>
          <w:p w:rsidR="007C3F46" w:rsidRPr="004627DB" w:rsidRDefault="007C3F46" w:rsidP="00D0262F">
            <w:pPr>
              <w:rPr>
                <w:rFonts w:ascii="Calibri" w:eastAsia="Times New Roman" w:hAnsi="Calibri" w:cs="Times New Roman"/>
                <w:color w:val="000000"/>
              </w:rPr>
            </w:pPr>
            <w:r>
              <w:t>Renal Failure</w:t>
            </w:r>
          </w:p>
        </w:tc>
        <w:tc>
          <w:tcPr>
            <w:tcW w:w="2880" w:type="dxa"/>
          </w:tcPr>
          <w:p w:rsidR="007C3F46" w:rsidRPr="004627DB" w:rsidRDefault="007C3F46" w:rsidP="00D026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460</w:t>
            </w:r>
          </w:p>
        </w:tc>
      </w:tr>
      <w:tr w:rsidR="007C3F46" w:rsidRPr="004627DB" w:rsidTr="00D026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tcPr>
          <w:p w:rsidR="007C3F46" w:rsidRPr="004627DB" w:rsidRDefault="007C3F46" w:rsidP="00D0262F">
            <w:pPr>
              <w:rPr>
                <w:rFonts w:ascii="Calibri" w:eastAsia="Times New Roman" w:hAnsi="Calibri" w:cs="Times New Roman"/>
                <w:color w:val="000000"/>
              </w:rPr>
            </w:pPr>
            <w:r>
              <w:t>C Section (Cesarean delivery)</w:t>
            </w:r>
          </w:p>
        </w:tc>
        <w:tc>
          <w:tcPr>
            <w:tcW w:w="2880" w:type="dxa"/>
          </w:tcPr>
          <w:p w:rsidR="007C3F46" w:rsidRPr="004627DB" w:rsidRDefault="007C3F46" w:rsidP="00D026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540</w:t>
            </w:r>
          </w:p>
        </w:tc>
      </w:tr>
      <w:tr w:rsidR="007C3F46" w:rsidRPr="004627DB" w:rsidTr="00D0262F">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tcPr>
          <w:p w:rsidR="007C3F46" w:rsidRPr="004627DB" w:rsidRDefault="007C3F46" w:rsidP="00D0262F">
            <w:pPr>
              <w:rPr>
                <w:rFonts w:ascii="Calibri" w:eastAsia="Times New Roman" w:hAnsi="Calibri" w:cs="Times New Roman"/>
                <w:color w:val="000000"/>
              </w:rPr>
            </w:pPr>
            <w:r>
              <w:t>Sepsis</w:t>
            </w:r>
          </w:p>
        </w:tc>
        <w:tc>
          <w:tcPr>
            <w:tcW w:w="2880" w:type="dxa"/>
          </w:tcPr>
          <w:p w:rsidR="007C3F46" w:rsidRPr="004627DB" w:rsidRDefault="007C3F46" w:rsidP="00D026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720</w:t>
            </w:r>
          </w:p>
        </w:tc>
      </w:tr>
      <w:tr w:rsidR="007C3F46" w:rsidRPr="004627DB" w:rsidTr="00D0262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tcPr>
          <w:p w:rsidR="007C3F46" w:rsidRPr="004627DB" w:rsidRDefault="007C3F46" w:rsidP="00D0262F">
            <w:pPr>
              <w:rPr>
                <w:rFonts w:ascii="Calibri" w:eastAsia="Times New Roman" w:hAnsi="Calibri" w:cs="Times New Roman"/>
                <w:color w:val="000000"/>
              </w:rPr>
            </w:pPr>
            <w:r>
              <w:t>Others</w:t>
            </w:r>
          </w:p>
        </w:tc>
        <w:tc>
          <w:tcPr>
            <w:tcW w:w="2880" w:type="dxa"/>
          </w:tcPr>
          <w:p w:rsidR="007C3F46" w:rsidRPr="004627DB" w:rsidRDefault="007C3F46" w:rsidP="00D026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Other APR DRGs</w:t>
            </w:r>
          </w:p>
        </w:tc>
      </w:tr>
    </w:tbl>
    <w:p w:rsidR="00CF4C77" w:rsidRDefault="00CF4C77" w:rsidP="00CF4C77">
      <w:pPr>
        <w:pStyle w:val="Default"/>
      </w:pPr>
    </w:p>
    <w:p w:rsidR="00CF4C77" w:rsidRDefault="005B1353" w:rsidP="00A81054">
      <w:pPr>
        <w:pStyle w:val="Heading4"/>
      </w:pPr>
      <w:r>
        <w:t xml:space="preserve">Total Admissions </w:t>
      </w:r>
      <w:r w:rsidR="00CF4C77">
        <w:t>at Risk for PPR</w:t>
      </w:r>
    </w:p>
    <w:p w:rsidR="00CF4C77" w:rsidRDefault="00CF4C77" w:rsidP="00CF4C77">
      <w:r>
        <w:t>At Risk admissions within the category.</w:t>
      </w:r>
    </w:p>
    <w:p w:rsidR="005F19DE" w:rsidRDefault="005F19DE" w:rsidP="005F19DE">
      <w:pPr>
        <w:pStyle w:val="Heading4"/>
      </w:pPr>
      <w:r>
        <w:t xml:space="preserve">Actual PPR Weights </w:t>
      </w:r>
      <w:r w:rsidR="009B0A52">
        <w:t>p</w:t>
      </w:r>
      <w:r>
        <w:t>er 1,000 at Risk Admissions</w:t>
      </w:r>
    </w:p>
    <w:p w:rsidR="005F19DE" w:rsidRDefault="005F19DE" w:rsidP="00CF4C77">
      <w:r>
        <w:t>The sum of APR-DRG weights divided by all at risk admissions times 1000, within each category.</w:t>
      </w:r>
    </w:p>
    <w:p w:rsidR="00CF4C77" w:rsidRDefault="00CF4C77" w:rsidP="00A81054">
      <w:pPr>
        <w:pStyle w:val="Heading4"/>
      </w:pPr>
      <w:r>
        <w:lastRenderedPageBreak/>
        <w:t xml:space="preserve">State Percentile </w:t>
      </w:r>
      <w:r w:rsidR="004F5CC2">
        <w:t>within Category</w:t>
      </w:r>
    </w:p>
    <w:p w:rsidR="00CF4C77" w:rsidRDefault="004F5CC2" w:rsidP="00CF4C77">
      <w:r>
        <w:t xml:space="preserve">These are </w:t>
      </w:r>
      <w:r w:rsidR="009B0A52">
        <w:t>‘Actual PPR Weights p</w:t>
      </w:r>
      <w:r w:rsidR="005F19DE">
        <w:t xml:space="preserve">er 1,000 at Risk Admissions’ </w:t>
      </w:r>
      <w:r>
        <w:t>based on data for</w:t>
      </w:r>
      <w:r w:rsidR="00CF4C77">
        <w:t xml:space="preserve"> all providers excluding those identified as low volume providers.</w:t>
      </w:r>
    </w:p>
    <w:p w:rsidR="00CF4C77" w:rsidRDefault="004F5CC2" w:rsidP="00A81054">
      <w:pPr>
        <w:pStyle w:val="Heading4"/>
      </w:pPr>
      <w:r>
        <w:t>PPR</w:t>
      </w:r>
      <w:r w:rsidR="00CF4C77">
        <w:t xml:space="preserve"> Expenditures</w:t>
      </w:r>
    </w:p>
    <w:p w:rsidR="00CF4C77" w:rsidRDefault="00CF4C77" w:rsidP="00CF4C77">
      <w:r>
        <w:t xml:space="preserve">Paid amounts for </w:t>
      </w:r>
      <w:r w:rsidR="007C3F46">
        <w:t xml:space="preserve">PPRs </w:t>
      </w:r>
      <w:r>
        <w:t>included in</w:t>
      </w:r>
      <w:r w:rsidR="004F5CC2">
        <w:t xml:space="preserve"> the</w:t>
      </w:r>
      <w:r>
        <w:t xml:space="preserve"> </w:t>
      </w:r>
      <w:r w:rsidR="004F5CC2">
        <w:t>category.</w:t>
      </w:r>
    </w:p>
    <w:p w:rsidR="00CF4C77" w:rsidRDefault="004F5CC2" w:rsidP="00A81054">
      <w:pPr>
        <w:pStyle w:val="Heading4"/>
      </w:pPr>
      <w:r>
        <w:t>Fraction of PPR</w:t>
      </w:r>
      <w:r w:rsidR="00CF4C77">
        <w:t xml:space="preserve"> Expenditures</w:t>
      </w:r>
    </w:p>
    <w:p w:rsidR="00CF4C77" w:rsidRDefault="004F5CC2" w:rsidP="00CF4C77">
      <w:r>
        <w:t>‘Category – PPR</w:t>
      </w:r>
      <w:r w:rsidR="00CF4C77">
        <w:t xml:space="preserve"> Expenditures’ d</w:t>
      </w:r>
      <w:r>
        <w:t>ivided by ‘Provider – Total PPR</w:t>
      </w:r>
      <w:r w:rsidR="00CF4C77">
        <w:t xml:space="preserve"> Expenditures’.</w:t>
      </w:r>
    </w:p>
    <w:p w:rsidR="004F5CC2" w:rsidRDefault="004F5CC2" w:rsidP="00731280">
      <w:pPr>
        <w:pStyle w:val="Heading3"/>
      </w:pPr>
      <w:bookmarkStart w:id="12" w:name="_Toc446329881"/>
      <w:r w:rsidRPr="004F5CC2">
        <w:t>PPR Results by APR-DRG</w:t>
      </w:r>
      <w:bookmarkEnd w:id="12"/>
    </w:p>
    <w:p w:rsidR="004F5CC2" w:rsidRDefault="005F19DE" w:rsidP="00CF4C77">
      <w:pPr>
        <w:pStyle w:val="Default"/>
        <w:rPr>
          <w:rFonts w:asciiTheme="minorHAnsi" w:hAnsiTheme="minorHAnsi" w:cstheme="minorBidi"/>
          <w:color w:val="auto"/>
          <w:sz w:val="22"/>
          <w:szCs w:val="22"/>
        </w:rPr>
      </w:pPr>
      <w:r>
        <w:rPr>
          <w:rFonts w:asciiTheme="minorHAnsi" w:hAnsiTheme="minorHAnsi" w:cstheme="minorBidi"/>
          <w:color w:val="auto"/>
          <w:sz w:val="22"/>
          <w:szCs w:val="22"/>
        </w:rPr>
        <w:t>PPR weights and f</w:t>
      </w:r>
      <w:r w:rsidR="004F5CC2" w:rsidRPr="004F5CC2">
        <w:rPr>
          <w:rFonts w:asciiTheme="minorHAnsi" w:hAnsiTheme="minorHAnsi" w:cstheme="minorBidi"/>
          <w:color w:val="auto"/>
          <w:sz w:val="22"/>
          <w:szCs w:val="22"/>
        </w:rPr>
        <w:t xml:space="preserve">requency of occurrence of the top 20 </w:t>
      </w:r>
      <w:r>
        <w:rPr>
          <w:rFonts w:asciiTheme="minorHAnsi" w:hAnsiTheme="minorHAnsi" w:cstheme="minorBidi"/>
          <w:color w:val="auto"/>
          <w:sz w:val="22"/>
          <w:szCs w:val="22"/>
        </w:rPr>
        <w:t>APR-</w:t>
      </w:r>
      <w:r w:rsidR="004F5CC2" w:rsidRPr="004F5CC2">
        <w:rPr>
          <w:rFonts w:asciiTheme="minorHAnsi" w:hAnsiTheme="minorHAnsi" w:cstheme="minorBidi"/>
          <w:color w:val="auto"/>
          <w:sz w:val="22"/>
          <w:szCs w:val="22"/>
        </w:rPr>
        <w:t>DRG conditions</w:t>
      </w:r>
      <w:r w:rsidR="004F5CC2">
        <w:rPr>
          <w:rFonts w:asciiTheme="minorHAnsi" w:hAnsiTheme="minorHAnsi" w:cstheme="minorBidi"/>
          <w:color w:val="auto"/>
          <w:sz w:val="22"/>
          <w:szCs w:val="22"/>
        </w:rPr>
        <w:t xml:space="preserve"> based on all readmission events</w:t>
      </w:r>
      <w:r w:rsidR="00DC20AA">
        <w:rPr>
          <w:rFonts w:asciiTheme="minorHAnsi" w:hAnsiTheme="minorHAnsi" w:cstheme="minorBidi"/>
          <w:color w:val="auto"/>
          <w:sz w:val="22"/>
          <w:szCs w:val="22"/>
        </w:rPr>
        <w:t xml:space="preserve"> for the hospital in the defined time period</w:t>
      </w:r>
      <w:r w:rsidR="004F5CC2">
        <w:rPr>
          <w:rFonts w:asciiTheme="minorHAnsi" w:hAnsiTheme="minorHAnsi" w:cstheme="minorBidi"/>
          <w:color w:val="auto"/>
          <w:sz w:val="22"/>
          <w:szCs w:val="22"/>
        </w:rPr>
        <w:t>.</w:t>
      </w:r>
    </w:p>
    <w:p w:rsidR="004F5CC2" w:rsidRDefault="004F5CC2" w:rsidP="00731280">
      <w:pPr>
        <w:pStyle w:val="Heading3"/>
      </w:pPr>
      <w:bookmarkStart w:id="13" w:name="_Toc446329882"/>
      <w:r>
        <w:t>PPR Results by PPR Reason</w:t>
      </w:r>
      <w:bookmarkEnd w:id="13"/>
      <w:r>
        <w:t xml:space="preserve"> </w:t>
      </w:r>
    </w:p>
    <w:p w:rsidR="00A20929" w:rsidRDefault="004F5CC2" w:rsidP="00A20929">
      <w:pPr>
        <w:pStyle w:val="Default"/>
        <w:rPr>
          <w:color w:val="FF0000"/>
        </w:rPr>
      </w:pPr>
      <w:r w:rsidRPr="004F5CC2">
        <w:rPr>
          <w:rFonts w:asciiTheme="minorHAnsi" w:hAnsiTheme="minorHAnsi" w:cstheme="minorBidi"/>
          <w:color w:val="auto"/>
          <w:sz w:val="22"/>
          <w:szCs w:val="22"/>
        </w:rPr>
        <w:t xml:space="preserve">This table provides a distribution </w:t>
      </w:r>
      <w:r>
        <w:rPr>
          <w:rFonts w:asciiTheme="minorHAnsi" w:hAnsiTheme="minorHAnsi" w:cstheme="minorBidi"/>
          <w:color w:val="auto"/>
          <w:sz w:val="22"/>
          <w:szCs w:val="22"/>
        </w:rPr>
        <w:t xml:space="preserve">of </w:t>
      </w:r>
      <w:r w:rsidR="005F19DE">
        <w:rPr>
          <w:rFonts w:asciiTheme="minorHAnsi" w:hAnsiTheme="minorHAnsi" w:cstheme="minorBidi"/>
          <w:color w:val="auto"/>
          <w:sz w:val="22"/>
          <w:szCs w:val="22"/>
        </w:rPr>
        <w:t xml:space="preserve">PPR </w:t>
      </w:r>
      <w:r>
        <w:rPr>
          <w:rFonts w:asciiTheme="minorHAnsi" w:hAnsiTheme="minorHAnsi" w:cstheme="minorBidi"/>
          <w:color w:val="auto"/>
          <w:sz w:val="22"/>
          <w:szCs w:val="22"/>
        </w:rPr>
        <w:t xml:space="preserve">event counts and </w:t>
      </w:r>
      <w:r w:rsidR="005F19DE">
        <w:rPr>
          <w:rFonts w:asciiTheme="minorHAnsi" w:hAnsiTheme="minorHAnsi" w:cstheme="minorBidi"/>
          <w:color w:val="auto"/>
          <w:sz w:val="22"/>
          <w:szCs w:val="22"/>
        </w:rPr>
        <w:t>PPR weights</w:t>
      </w:r>
      <w:r>
        <w:rPr>
          <w:rFonts w:asciiTheme="minorHAnsi" w:hAnsiTheme="minorHAnsi" w:cstheme="minorBidi"/>
          <w:color w:val="auto"/>
          <w:sz w:val="22"/>
          <w:szCs w:val="22"/>
        </w:rPr>
        <w:t xml:space="preserve"> for the hospital </w:t>
      </w:r>
      <w:r w:rsidRPr="004F5CC2">
        <w:rPr>
          <w:rFonts w:asciiTheme="minorHAnsi" w:hAnsiTheme="minorHAnsi" w:cstheme="minorBidi"/>
          <w:color w:val="auto"/>
          <w:sz w:val="22"/>
          <w:szCs w:val="22"/>
        </w:rPr>
        <w:t>based on</w:t>
      </w:r>
      <w:r w:rsidR="0091435F" w:rsidRPr="004F5CC2">
        <w:rPr>
          <w:rFonts w:asciiTheme="minorHAnsi" w:hAnsiTheme="minorHAnsi" w:cstheme="minorBidi"/>
          <w:color w:val="auto"/>
          <w:sz w:val="22"/>
          <w:szCs w:val="22"/>
        </w:rPr>
        <w:t xml:space="preserve"> the clinical-related reasons defined by 3M</w:t>
      </w:r>
      <w:r w:rsidR="00731280">
        <w:rPr>
          <w:rFonts w:asciiTheme="minorHAnsi" w:hAnsiTheme="minorHAnsi" w:cstheme="minorBidi"/>
          <w:color w:val="auto"/>
          <w:sz w:val="22"/>
          <w:szCs w:val="22"/>
        </w:rPr>
        <w:t>.</w:t>
      </w:r>
      <w:r w:rsidR="0091435F">
        <w:rPr>
          <w:color w:val="FF0000"/>
        </w:rPr>
        <w:t xml:space="preserve"> </w:t>
      </w:r>
    </w:p>
    <w:p w:rsidR="00A20929" w:rsidRDefault="00A20929">
      <w:pPr>
        <w:rPr>
          <w:rFonts w:ascii="Calibri" w:hAnsi="Calibri" w:cs="Calibri"/>
          <w:color w:val="FF0000"/>
          <w:sz w:val="24"/>
          <w:szCs w:val="24"/>
        </w:rPr>
      </w:pPr>
    </w:p>
    <w:p w:rsidR="00A20929" w:rsidRDefault="00A20929" w:rsidP="00A20929">
      <w:pPr>
        <w:pStyle w:val="Heading1"/>
      </w:pPr>
      <w:bookmarkStart w:id="14" w:name="_Toc446329883"/>
      <w:r>
        <w:t>Reference</w:t>
      </w:r>
      <w:bookmarkEnd w:id="14"/>
    </w:p>
    <w:p w:rsidR="00A20929" w:rsidRPr="00A20929" w:rsidRDefault="00A20929" w:rsidP="00A20929">
      <w:r>
        <w:t>3M</w:t>
      </w:r>
      <w:r w:rsidRPr="00A20929">
        <w:rPr>
          <w:vertAlign w:val="superscript"/>
        </w:rPr>
        <w:t>TM</w:t>
      </w:r>
      <w:r>
        <w:t xml:space="preserve"> Health Information Systems. Potentially Preventable Readmissions Classification System</w:t>
      </w:r>
      <w:r w:rsidR="00CB1461">
        <w:t xml:space="preserve"> (Version 32)</w:t>
      </w:r>
      <w:r>
        <w:t xml:space="preserve">: </w:t>
      </w:r>
      <w:r w:rsidR="00105F14">
        <w:t>Definitions Manual. GRP-118, 2014</w:t>
      </w:r>
      <w:r>
        <w:t>.</w:t>
      </w:r>
    </w:p>
    <w:sectPr w:rsidR="00A20929" w:rsidRPr="00A20929" w:rsidSect="00421BB0">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42" w:rsidRDefault="00E84F42" w:rsidP="00114988">
      <w:pPr>
        <w:spacing w:after="0" w:line="240" w:lineRule="auto"/>
      </w:pPr>
      <w:r>
        <w:separator/>
      </w:r>
    </w:p>
  </w:endnote>
  <w:endnote w:type="continuationSeparator" w:id="0">
    <w:p w:rsidR="00E84F42" w:rsidRDefault="00E84F42" w:rsidP="0011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41" w:rsidRPr="00E661C7" w:rsidRDefault="00070A41" w:rsidP="00E661C7">
    <w:pPr>
      <w:pStyle w:val="Footer"/>
      <w:pBdr>
        <w:top w:val="thinThickSmallGap" w:sz="24" w:space="1" w:color="622423" w:themeColor="accent2" w:themeShade="7F"/>
      </w:pBdr>
      <w:rPr>
        <w:rFonts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41" w:rsidRPr="00397BDA" w:rsidRDefault="00070A41" w:rsidP="00397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41" w:rsidRPr="00E661C7" w:rsidRDefault="00070A41" w:rsidP="00397BDA">
    <w:pPr>
      <w:pStyle w:val="Footer"/>
      <w:pBdr>
        <w:top w:val="thinThickSmallGap" w:sz="24" w:space="1" w:color="622423" w:themeColor="accent2" w:themeShade="7F"/>
      </w:pBdr>
      <w:jc w:val="right"/>
      <w:rPr>
        <w:rFonts w:cs="Times New Roman"/>
        <w:sz w:val="18"/>
        <w:szCs w:val="18"/>
      </w:rPr>
    </w:pPr>
    <w:r>
      <w:rPr>
        <w:rFonts w:cs="Times New Roman"/>
        <w:sz w:val="18"/>
        <w:szCs w:val="18"/>
      </w:rPr>
      <w:t xml:space="preserve">Page </w:t>
    </w:r>
    <w:r w:rsidRPr="00397BDA">
      <w:rPr>
        <w:rFonts w:cs="Times New Roman"/>
        <w:sz w:val="18"/>
        <w:szCs w:val="18"/>
      </w:rPr>
      <w:fldChar w:fldCharType="begin"/>
    </w:r>
    <w:r w:rsidRPr="00397BDA">
      <w:rPr>
        <w:rFonts w:cs="Times New Roman"/>
        <w:sz w:val="18"/>
        <w:szCs w:val="18"/>
      </w:rPr>
      <w:instrText xml:space="preserve"> PAGE   \* MERGEFORMAT </w:instrText>
    </w:r>
    <w:r w:rsidRPr="00397BDA">
      <w:rPr>
        <w:rFonts w:cs="Times New Roman"/>
        <w:sz w:val="18"/>
        <w:szCs w:val="18"/>
      </w:rPr>
      <w:fldChar w:fldCharType="separate"/>
    </w:r>
    <w:r w:rsidR="00E45EDB">
      <w:rPr>
        <w:rFonts w:cs="Times New Roman"/>
        <w:noProof/>
        <w:sz w:val="18"/>
        <w:szCs w:val="18"/>
      </w:rPr>
      <w:t>1</w:t>
    </w:r>
    <w:r w:rsidRPr="00397BDA">
      <w:rPr>
        <w:rFonts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42" w:rsidRDefault="00E84F42" w:rsidP="00114988">
      <w:pPr>
        <w:spacing w:after="0" w:line="240" w:lineRule="auto"/>
      </w:pPr>
      <w:r>
        <w:separator/>
      </w:r>
    </w:p>
  </w:footnote>
  <w:footnote w:type="continuationSeparator" w:id="0">
    <w:p w:rsidR="00E84F42" w:rsidRDefault="00E84F42" w:rsidP="00114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738" w:type="dxa"/>
      <w:jc w:val="center"/>
      <w:tblCellMar>
        <w:left w:w="115" w:type="dxa"/>
        <w:right w:w="115" w:type="dxa"/>
      </w:tblCellMar>
      <w:tblLook w:val="04A0" w:firstRow="1" w:lastRow="0" w:firstColumn="1" w:lastColumn="0" w:noHBand="0" w:noVBand="1"/>
    </w:tblPr>
    <w:tblGrid>
      <w:gridCol w:w="3079"/>
      <w:gridCol w:w="5491"/>
      <w:gridCol w:w="3168"/>
    </w:tblGrid>
    <w:tr w:rsidR="00070A41" w:rsidRPr="00681A91" w:rsidTr="00FB12AF">
      <w:trPr>
        <w:trHeight w:val="990"/>
        <w:jc w:val="center"/>
      </w:trPr>
      <w:tc>
        <w:tcPr>
          <w:tcW w:w="3079" w:type="dxa"/>
          <w:vAlign w:val="center"/>
        </w:tcPr>
        <w:p w:rsidR="00070A41" w:rsidRPr="00681A91" w:rsidRDefault="00070A41" w:rsidP="001A44EC">
          <w:pPr>
            <w:jc w:val="center"/>
          </w:pPr>
        </w:p>
      </w:tc>
      <w:tc>
        <w:tcPr>
          <w:tcW w:w="5491" w:type="dxa"/>
          <w:vAlign w:val="center"/>
        </w:tcPr>
        <w:p w:rsidR="00070A41" w:rsidRPr="00681A91" w:rsidRDefault="00070A41" w:rsidP="0041181D">
          <w:pPr>
            <w:jc w:val="center"/>
          </w:pPr>
          <w:r>
            <w:rPr>
              <w:noProof/>
            </w:rPr>
            <w:drawing>
              <wp:inline distT="0" distB="0" distL="0" distR="0" wp14:anchorId="0B821569" wp14:editId="187C0156">
                <wp:extent cx="1828800" cy="691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RO-Final-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691896"/>
                        </a:xfrm>
                        <a:prstGeom prst="rect">
                          <a:avLst/>
                        </a:prstGeom>
                      </pic:spPr>
                    </pic:pic>
                  </a:graphicData>
                </a:graphic>
              </wp:inline>
            </w:drawing>
          </w:r>
        </w:p>
      </w:tc>
      <w:tc>
        <w:tcPr>
          <w:tcW w:w="3168" w:type="dxa"/>
          <w:vAlign w:val="center"/>
        </w:tcPr>
        <w:p w:rsidR="00070A41" w:rsidRPr="00681A91" w:rsidRDefault="00070A41" w:rsidP="001A44EC">
          <w:pPr>
            <w:jc w:val="center"/>
          </w:pPr>
        </w:p>
      </w:tc>
    </w:tr>
  </w:tbl>
  <w:p w:rsidR="00070A41" w:rsidRDefault="00070A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41" w:rsidRDefault="00070A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41" w:rsidRPr="00E661C7" w:rsidRDefault="00070A41">
    <w:pPr>
      <w:pStyle w:val="Header"/>
      <w:rPr>
        <w:i/>
      </w:rPr>
    </w:pPr>
    <w:r>
      <w:rPr>
        <w:i/>
      </w:rPr>
      <w:t>PPR Provider Reporting Technical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FC803DE"/>
    <w:lvl w:ilvl="0">
      <w:start w:val="1"/>
      <w:numFmt w:val="decimal"/>
      <w:lvlText w:val="%1."/>
      <w:lvlJc w:val="left"/>
      <w:pPr>
        <w:tabs>
          <w:tab w:val="num" w:pos="1800"/>
        </w:tabs>
        <w:ind w:left="1800" w:hanging="360"/>
      </w:pPr>
    </w:lvl>
  </w:abstractNum>
  <w:abstractNum w:abstractNumId="1">
    <w:nsid w:val="FFFFFF7D"/>
    <w:multiLevelType w:val="singleLevel"/>
    <w:tmpl w:val="877C3C86"/>
    <w:lvl w:ilvl="0">
      <w:start w:val="1"/>
      <w:numFmt w:val="decimal"/>
      <w:lvlText w:val="%1."/>
      <w:lvlJc w:val="left"/>
      <w:pPr>
        <w:tabs>
          <w:tab w:val="num" w:pos="1440"/>
        </w:tabs>
        <w:ind w:left="1440" w:hanging="360"/>
      </w:pPr>
    </w:lvl>
  </w:abstractNum>
  <w:abstractNum w:abstractNumId="2">
    <w:nsid w:val="FFFFFF7E"/>
    <w:multiLevelType w:val="singleLevel"/>
    <w:tmpl w:val="C5D899D4"/>
    <w:lvl w:ilvl="0">
      <w:start w:val="1"/>
      <w:numFmt w:val="decimal"/>
      <w:lvlText w:val="%1."/>
      <w:lvlJc w:val="left"/>
      <w:pPr>
        <w:tabs>
          <w:tab w:val="num" w:pos="1080"/>
        </w:tabs>
        <w:ind w:left="1080" w:hanging="360"/>
      </w:pPr>
    </w:lvl>
  </w:abstractNum>
  <w:abstractNum w:abstractNumId="3">
    <w:nsid w:val="FFFFFF7F"/>
    <w:multiLevelType w:val="singleLevel"/>
    <w:tmpl w:val="FAD0A668"/>
    <w:lvl w:ilvl="0">
      <w:start w:val="1"/>
      <w:numFmt w:val="decimal"/>
      <w:lvlText w:val="%1."/>
      <w:lvlJc w:val="left"/>
      <w:pPr>
        <w:tabs>
          <w:tab w:val="num" w:pos="720"/>
        </w:tabs>
        <w:ind w:left="720" w:hanging="360"/>
      </w:pPr>
    </w:lvl>
  </w:abstractNum>
  <w:abstractNum w:abstractNumId="4">
    <w:nsid w:val="FFFFFF80"/>
    <w:multiLevelType w:val="singleLevel"/>
    <w:tmpl w:val="8F541C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64BF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A2B7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B828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9E13F8"/>
    <w:lvl w:ilvl="0">
      <w:start w:val="1"/>
      <w:numFmt w:val="decimal"/>
      <w:lvlText w:val="%1."/>
      <w:lvlJc w:val="left"/>
      <w:pPr>
        <w:tabs>
          <w:tab w:val="num" w:pos="360"/>
        </w:tabs>
        <w:ind w:left="360" w:hanging="360"/>
      </w:pPr>
    </w:lvl>
  </w:abstractNum>
  <w:abstractNum w:abstractNumId="9">
    <w:nsid w:val="FFFFFF89"/>
    <w:multiLevelType w:val="singleLevel"/>
    <w:tmpl w:val="4E0477CC"/>
    <w:lvl w:ilvl="0">
      <w:start w:val="1"/>
      <w:numFmt w:val="bullet"/>
      <w:lvlText w:val=""/>
      <w:lvlJc w:val="left"/>
      <w:pPr>
        <w:tabs>
          <w:tab w:val="num" w:pos="360"/>
        </w:tabs>
        <w:ind w:left="360" w:hanging="360"/>
      </w:pPr>
      <w:rPr>
        <w:rFonts w:ascii="Symbol" w:hAnsi="Symbol" w:hint="default"/>
      </w:rPr>
    </w:lvl>
  </w:abstractNum>
  <w:abstractNum w:abstractNumId="10">
    <w:nsid w:val="0213542D"/>
    <w:multiLevelType w:val="hybridMultilevel"/>
    <w:tmpl w:val="EF4C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F3837"/>
    <w:multiLevelType w:val="hybridMultilevel"/>
    <w:tmpl w:val="CADE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1D78E5"/>
    <w:multiLevelType w:val="hybridMultilevel"/>
    <w:tmpl w:val="59D6FD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B77B58"/>
    <w:multiLevelType w:val="hybridMultilevel"/>
    <w:tmpl w:val="76B8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A87FDE"/>
    <w:multiLevelType w:val="hybridMultilevel"/>
    <w:tmpl w:val="946EB4C4"/>
    <w:lvl w:ilvl="0" w:tplc="9B14F74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839A3"/>
    <w:multiLevelType w:val="hybridMultilevel"/>
    <w:tmpl w:val="E778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FE387D"/>
    <w:multiLevelType w:val="hybridMultilevel"/>
    <w:tmpl w:val="8F7A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C11FC8"/>
    <w:multiLevelType w:val="hybridMultilevel"/>
    <w:tmpl w:val="924A9F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F7E9B"/>
    <w:multiLevelType w:val="hybridMultilevel"/>
    <w:tmpl w:val="970ABF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77CB5"/>
    <w:multiLevelType w:val="hybridMultilevel"/>
    <w:tmpl w:val="1012C51C"/>
    <w:lvl w:ilvl="0" w:tplc="050CE63C">
      <w:numFmt w:val="bullet"/>
      <w:lvlText w:val="•"/>
      <w:lvlJc w:val="left"/>
      <w:pPr>
        <w:ind w:left="360" w:hanging="360"/>
      </w:pPr>
      <w:rPr>
        <w:rFonts w:ascii="Calibri" w:eastAsia="Times New Roman" w:hAnsi="Calibri" w:cs="Times New Roman"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C92CDB"/>
    <w:multiLevelType w:val="hybridMultilevel"/>
    <w:tmpl w:val="3792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485C55"/>
    <w:multiLevelType w:val="hybridMultilevel"/>
    <w:tmpl w:val="FE0CD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795FAA"/>
    <w:multiLevelType w:val="hybridMultilevel"/>
    <w:tmpl w:val="695E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C44E8C"/>
    <w:multiLevelType w:val="hybridMultilevel"/>
    <w:tmpl w:val="093CB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BB1818"/>
    <w:multiLevelType w:val="hybridMultilevel"/>
    <w:tmpl w:val="2CE81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273191"/>
    <w:multiLevelType w:val="hybridMultilevel"/>
    <w:tmpl w:val="995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D604C"/>
    <w:multiLevelType w:val="hybridMultilevel"/>
    <w:tmpl w:val="4222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1"/>
  </w:num>
  <w:num w:numId="15">
    <w:abstractNumId w:val="25"/>
  </w:num>
  <w:num w:numId="16">
    <w:abstractNumId w:val="10"/>
  </w:num>
  <w:num w:numId="17">
    <w:abstractNumId w:val="17"/>
  </w:num>
  <w:num w:numId="18">
    <w:abstractNumId w:val="20"/>
  </w:num>
  <w:num w:numId="19">
    <w:abstractNumId w:val="12"/>
  </w:num>
  <w:num w:numId="20">
    <w:abstractNumId w:val="14"/>
  </w:num>
  <w:num w:numId="21">
    <w:abstractNumId w:val="18"/>
  </w:num>
  <w:num w:numId="22">
    <w:abstractNumId w:val="15"/>
  </w:num>
  <w:num w:numId="23">
    <w:abstractNumId w:val="23"/>
  </w:num>
  <w:num w:numId="24">
    <w:abstractNumId w:val="19"/>
  </w:num>
  <w:num w:numId="25">
    <w:abstractNumId w:val="11"/>
  </w:num>
  <w:num w:numId="26">
    <w:abstractNumId w:val="16"/>
  </w:num>
  <w:num w:numId="27">
    <w:abstractNumId w:val="26"/>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C2"/>
    <w:rsid w:val="00004522"/>
    <w:rsid w:val="000318C0"/>
    <w:rsid w:val="00036922"/>
    <w:rsid w:val="00045F87"/>
    <w:rsid w:val="00046735"/>
    <w:rsid w:val="00070A41"/>
    <w:rsid w:val="000770D1"/>
    <w:rsid w:val="00084EFA"/>
    <w:rsid w:val="00091700"/>
    <w:rsid w:val="0009331B"/>
    <w:rsid w:val="00095477"/>
    <w:rsid w:val="000A438E"/>
    <w:rsid w:val="000C0240"/>
    <w:rsid w:val="00105F14"/>
    <w:rsid w:val="00111541"/>
    <w:rsid w:val="00114453"/>
    <w:rsid w:val="00114988"/>
    <w:rsid w:val="00144F84"/>
    <w:rsid w:val="001506CE"/>
    <w:rsid w:val="0015444D"/>
    <w:rsid w:val="001952C0"/>
    <w:rsid w:val="00195486"/>
    <w:rsid w:val="001A44EC"/>
    <w:rsid w:val="001B0B62"/>
    <w:rsid w:val="001B0D73"/>
    <w:rsid w:val="001B1BF8"/>
    <w:rsid w:val="001C1013"/>
    <w:rsid w:val="001D6D01"/>
    <w:rsid w:val="001E3C5F"/>
    <w:rsid w:val="001E4A2F"/>
    <w:rsid w:val="001E5498"/>
    <w:rsid w:val="001E5C72"/>
    <w:rsid w:val="001E73F5"/>
    <w:rsid w:val="00200B4E"/>
    <w:rsid w:val="00211B69"/>
    <w:rsid w:val="00213AFB"/>
    <w:rsid w:val="0021725E"/>
    <w:rsid w:val="00222F72"/>
    <w:rsid w:val="00234221"/>
    <w:rsid w:val="002470D9"/>
    <w:rsid w:val="002517AE"/>
    <w:rsid w:val="00251EA7"/>
    <w:rsid w:val="00267122"/>
    <w:rsid w:val="00272756"/>
    <w:rsid w:val="00282E09"/>
    <w:rsid w:val="002B0B9F"/>
    <w:rsid w:val="002C207D"/>
    <w:rsid w:val="002D4BE8"/>
    <w:rsid w:val="003063E8"/>
    <w:rsid w:val="00313613"/>
    <w:rsid w:val="00324D01"/>
    <w:rsid w:val="0033418A"/>
    <w:rsid w:val="00342DE8"/>
    <w:rsid w:val="00347F7C"/>
    <w:rsid w:val="00357357"/>
    <w:rsid w:val="003914E7"/>
    <w:rsid w:val="00397BDA"/>
    <w:rsid w:val="003B7643"/>
    <w:rsid w:val="003C5ADC"/>
    <w:rsid w:val="003C7F37"/>
    <w:rsid w:val="003D1857"/>
    <w:rsid w:val="003E062F"/>
    <w:rsid w:val="003F7F44"/>
    <w:rsid w:val="00401EC4"/>
    <w:rsid w:val="00403980"/>
    <w:rsid w:val="0040592A"/>
    <w:rsid w:val="0041181D"/>
    <w:rsid w:val="00421BB0"/>
    <w:rsid w:val="00424E8D"/>
    <w:rsid w:val="00444EDF"/>
    <w:rsid w:val="00466FA5"/>
    <w:rsid w:val="00473D1C"/>
    <w:rsid w:val="00476E8B"/>
    <w:rsid w:val="004770DE"/>
    <w:rsid w:val="00490A8E"/>
    <w:rsid w:val="004977BD"/>
    <w:rsid w:val="004C56EB"/>
    <w:rsid w:val="004D1BE4"/>
    <w:rsid w:val="004D1E73"/>
    <w:rsid w:val="004E2A4E"/>
    <w:rsid w:val="004E33F6"/>
    <w:rsid w:val="004E43B8"/>
    <w:rsid w:val="004F5CC2"/>
    <w:rsid w:val="004F769A"/>
    <w:rsid w:val="00512A5F"/>
    <w:rsid w:val="00512F29"/>
    <w:rsid w:val="00515E8C"/>
    <w:rsid w:val="0051725C"/>
    <w:rsid w:val="0052648C"/>
    <w:rsid w:val="005428E1"/>
    <w:rsid w:val="00557244"/>
    <w:rsid w:val="00591064"/>
    <w:rsid w:val="005A283C"/>
    <w:rsid w:val="005B1353"/>
    <w:rsid w:val="005B4B87"/>
    <w:rsid w:val="005B625E"/>
    <w:rsid w:val="005C2EF3"/>
    <w:rsid w:val="005C65BF"/>
    <w:rsid w:val="005D6148"/>
    <w:rsid w:val="005E0744"/>
    <w:rsid w:val="005E26B0"/>
    <w:rsid w:val="005E2FA3"/>
    <w:rsid w:val="005E69A9"/>
    <w:rsid w:val="005F19DE"/>
    <w:rsid w:val="005F217F"/>
    <w:rsid w:val="006012F0"/>
    <w:rsid w:val="0060547C"/>
    <w:rsid w:val="006229FF"/>
    <w:rsid w:val="00631C9A"/>
    <w:rsid w:val="00632FFE"/>
    <w:rsid w:val="00636B31"/>
    <w:rsid w:val="00656F97"/>
    <w:rsid w:val="00660E2E"/>
    <w:rsid w:val="00665956"/>
    <w:rsid w:val="00685CAF"/>
    <w:rsid w:val="006C10D8"/>
    <w:rsid w:val="006C2125"/>
    <w:rsid w:val="006C6409"/>
    <w:rsid w:val="006D6AB6"/>
    <w:rsid w:val="006E1CFB"/>
    <w:rsid w:val="006F216A"/>
    <w:rsid w:val="006F540E"/>
    <w:rsid w:val="006F71E9"/>
    <w:rsid w:val="00710EF2"/>
    <w:rsid w:val="007219F2"/>
    <w:rsid w:val="0072630A"/>
    <w:rsid w:val="00731280"/>
    <w:rsid w:val="00733779"/>
    <w:rsid w:val="00743FAF"/>
    <w:rsid w:val="00763A82"/>
    <w:rsid w:val="0077342D"/>
    <w:rsid w:val="007740AA"/>
    <w:rsid w:val="00777EA7"/>
    <w:rsid w:val="00785C71"/>
    <w:rsid w:val="00790C70"/>
    <w:rsid w:val="0079112C"/>
    <w:rsid w:val="007B44C1"/>
    <w:rsid w:val="007C3F46"/>
    <w:rsid w:val="007C58F6"/>
    <w:rsid w:val="007F4EB0"/>
    <w:rsid w:val="007F7CDE"/>
    <w:rsid w:val="008305A2"/>
    <w:rsid w:val="00831FEE"/>
    <w:rsid w:val="008359E8"/>
    <w:rsid w:val="0084388F"/>
    <w:rsid w:val="00843B6A"/>
    <w:rsid w:val="00847738"/>
    <w:rsid w:val="0086518B"/>
    <w:rsid w:val="008851A9"/>
    <w:rsid w:val="008938F5"/>
    <w:rsid w:val="008A2FC2"/>
    <w:rsid w:val="008B0E9F"/>
    <w:rsid w:val="008C36AA"/>
    <w:rsid w:val="008C5D56"/>
    <w:rsid w:val="008D3FB5"/>
    <w:rsid w:val="008E3233"/>
    <w:rsid w:val="008E6CC8"/>
    <w:rsid w:val="009001B6"/>
    <w:rsid w:val="00900A33"/>
    <w:rsid w:val="00903A73"/>
    <w:rsid w:val="00904314"/>
    <w:rsid w:val="0091435F"/>
    <w:rsid w:val="00961D5E"/>
    <w:rsid w:val="00966872"/>
    <w:rsid w:val="0098083C"/>
    <w:rsid w:val="0098322E"/>
    <w:rsid w:val="009A0B14"/>
    <w:rsid w:val="009B0A52"/>
    <w:rsid w:val="009B5A15"/>
    <w:rsid w:val="009D0810"/>
    <w:rsid w:val="009D7269"/>
    <w:rsid w:val="009E289D"/>
    <w:rsid w:val="009E5CE3"/>
    <w:rsid w:val="009F271E"/>
    <w:rsid w:val="00A16CC6"/>
    <w:rsid w:val="00A17582"/>
    <w:rsid w:val="00A20929"/>
    <w:rsid w:val="00A2233D"/>
    <w:rsid w:val="00A31A6F"/>
    <w:rsid w:val="00A50560"/>
    <w:rsid w:val="00A62518"/>
    <w:rsid w:val="00A629AB"/>
    <w:rsid w:val="00A66A6C"/>
    <w:rsid w:val="00A81054"/>
    <w:rsid w:val="00AA4BF9"/>
    <w:rsid w:val="00AB4EBF"/>
    <w:rsid w:val="00AC4041"/>
    <w:rsid w:val="00AE5B24"/>
    <w:rsid w:val="00B04F32"/>
    <w:rsid w:val="00B06235"/>
    <w:rsid w:val="00B10B85"/>
    <w:rsid w:val="00B1236E"/>
    <w:rsid w:val="00B1465E"/>
    <w:rsid w:val="00B21935"/>
    <w:rsid w:val="00B24DF7"/>
    <w:rsid w:val="00B27E84"/>
    <w:rsid w:val="00B40A0D"/>
    <w:rsid w:val="00B626AF"/>
    <w:rsid w:val="00B77DB3"/>
    <w:rsid w:val="00BA182A"/>
    <w:rsid w:val="00BB4A1F"/>
    <w:rsid w:val="00BC1D21"/>
    <w:rsid w:val="00BC6203"/>
    <w:rsid w:val="00BF2548"/>
    <w:rsid w:val="00BF30EA"/>
    <w:rsid w:val="00BF58EE"/>
    <w:rsid w:val="00C065DA"/>
    <w:rsid w:val="00C144B9"/>
    <w:rsid w:val="00C14FAC"/>
    <w:rsid w:val="00C2568F"/>
    <w:rsid w:val="00C25E04"/>
    <w:rsid w:val="00C34296"/>
    <w:rsid w:val="00C34ECD"/>
    <w:rsid w:val="00C35603"/>
    <w:rsid w:val="00C41498"/>
    <w:rsid w:val="00C55385"/>
    <w:rsid w:val="00C904BF"/>
    <w:rsid w:val="00C9681E"/>
    <w:rsid w:val="00C97FE3"/>
    <w:rsid w:val="00CB1461"/>
    <w:rsid w:val="00CB4456"/>
    <w:rsid w:val="00CD3C76"/>
    <w:rsid w:val="00CF24A7"/>
    <w:rsid w:val="00CF29EF"/>
    <w:rsid w:val="00CF4C77"/>
    <w:rsid w:val="00D0262F"/>
    <w:rsid w:val="00D311E1"/>
    <w:rsid w:val="00D359CF"/>
    <w:rsid w:val="00D4545D"/>
    <w:rsid w:val="00D80F48"/>
    <w:rsid w:val="00D83228"/>
    <w:rsid w:val="00D85408"/>
    <w:rsid w:val="00D854F4"/>
    <w:rsid w:val="00D91F45"/>
    <w:rsid w:val="00D932CE"/>
    <w:rsid w:val="00DA2B31"/>
    <w:rsid w:val="00DA2D09"/>
    <w:rsid w:val="00DB0436"/>
    <w:rsid w:val="00DB4790"/>
    <w:rsid w:val="00DB490D"/>
    <w:rsid w:val="00DC20AA"/>
    <w:rsid w:val="00DF1CE4"/>
    <w:rsid w:val="00DF58C5"/>
    <w:rsid w:val="00E0009D"/>
    <w:rsid w:val="00E009BB"/>
    <w:rsid w:val="00E12811"/>
    <w:rsid w:val="00E145B8"/>
    <w:rsid w:val="00E169F0"/>
    <w:rsid w:val="00E37E97"/>
    <w:rsid w:val="00E45EDB"/>
    <w:rsid w:val="00E57754"/>
    <w:rsid w:val="00E661C7"/>
    <w:rsid w:val="00E83363"/>
    <w:rsid w:val="00E84F42"/>
    <w:rsid w:val="00E8599B"/>
    <w:rsid w:val="00E95F2A"/>
    <w:rsid w:val="00EA74E8"/>
    <w:rsid w:val="00EC4F19"/>
    <w:rsid w:val="00ED58D8"/>
    <w:rsid w:val="00EE1A54"/>
    <w:rsid w:val="00EF55CD"/>
    <w:rsid w:val="00F0261F"/>
    <w:rsid w:val="00F10FEE"/>
    <w:rsid w:val="00F15DBD"/>
    <w:rsid w:val="00F22B27"/>
    <w:rsid w:val="00F4454E"/>
    <w:rsid w:val="00F824AD"/>
    <w:rsid w:val="00F842A2"/>
    <w:rsid w:val="00FA3975"/>
    <w:rsid w:val="00FB12AF"/>
    <w:rsid w:val="00FB15A1"/>
    <w:rsid w:val="00FC231E"/>
    <w:rsid w:val="00FC78A1"/>
    <w:rsid w:val="00FD2DA2"/>
    <w:rsid w:val="00FE152C"/>
    <w:rsid w:val="00FE5319"/>
    <w:rsid w:val="00FF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96F355-4ACB-46CC-88CC-6877ECE3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9F"/>
  </w:style>
  <w:style w:type="paragraph" w:styleId="Heading1">
    <w:name w:val="heading 1"/>
    <w:basedOn w:val="Normal"/>
    <w:next w:val="Normal"/>
    <w:link w:val="Heading1Char"/>
    <w:uiPriority w:val="9"/>
    <w:qFormat/>
    <w:rsid w:val="00665956"/>
    <w:pPr>
      <w:keepNext/>
      <w:keepLines/>
      <w:spacing w:before="240" w:after="12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7219F2"/>
    <w:pPr>
      <w:keepNext/>
      <w:keepLines/>
      <w:spacing w:before="12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C10D8"/>
    <w:pPr>
      <w:keepNext/>
      <w:keepLines/>
      <w:spacing w:before="200" w:after="120"/>
      <w:outlineLvl w:val="2"/>
    </w:pPr>
    <w:rPr>
      <w:rFonts w:eastAsiaTheme="majorEastAsia" w:cstheme="majorBidi"/>
      <w:b/>
      <w:bCs/>
      <w:sz w:val="26"/>
      <w:u w:val="single"/>
    </w:rPr>
  </w:style>
  <w:style w:type="paragraph" w:styleId="Heading4">
    <w:name w:val="heading 4"/>
    <w:basedOn w:val="Normal"/>
    <w:next w:val="Normal"/>
    <w:link w:val="Heading4Char"/>
    <w:uiPriority w:val="9"/>
    <w:unhideWhenUsed/>
    <w:qFormat/>
    <w:rsid w:val="008851A9"/>
    <w:pPr>
      <w:keepNext/>
      <w:keepLines/>
      <w:spacing w:before="12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7219F2"/>
    <w:pPr>
      <w:keepNext/>
      <w:keepLines/>
      <w:spacing w:before="120" w:after="120"/>
      <w:outlineLvl w:val="4"/>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6CC6"/>
    <w:pPr>
      <w:spacing w:after="120" w:line="360" w:lineRule="auto"/>
      <w:contextualSpacing/>
      <w:jc w:val="center"/>
    </w:pPr>
    <w:rPr>
      <w:rFonts w:ascii="Calibri" w:eastAsiaTheme="majorEastAsia" w:hAnsi="Calibri" w:cstheme="majorBidi"/>
      <w:b/>
      <w:color w:val="000000" w:themeColor="text1"/>
      <w:spacing w:val="6"/>
      <w:kern w:val="28"/>
      <w:sz w:val="52"/>
      <w:szCs w:val="52"/>
    </w:rPr>
  </w:style>
  <w:style w:type="character" w:customStyle="1" w:styleId="TitleChar">
    <w:name w:val="Title Char"/>
    <w:basedOn w:val="DefaultParagraphFont"/>
    <w:link w:val="Title"/>
    <w:uiPriority w:val="10"/>
    <w:rsid w:val="00A16CC6"/>
    <w:rPr>
      <w:rFonts w:ascii="Calibri" w:eastAsiaTheme="majorEastAsia" w:hAnsi="Calibri" w:cstheme="majorBidi"/>
      <w:b/>
      <w:color w:val="000000" w:themeColor="text1"/>
      <w:spacing w:val="6"/>
      <w:kern w:val="28"/>
      <w:sz w:val="52"/>
      <w:szCs w:val="52"/>
    </w:rPr>
  </w:style>
  <w:style w:type="paragraph" w:styleId="Footer">
    <w:name w:val="footer"/>
    <w:basedOn w:val="Normal"/>
    <w:link w:val="FooterChar"/>
    <w:uiPriority w:val="99"/>
    <w:unhideWhenUsed/>
    <w:rsid w:val="008A2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FC2"/>
  </w:style>
  <w:style w:type="paragraph" w:styleId="Subtitle">
    <w:name w:val="Subtitle"/>
    <w:basedOn w:val="Normal"/>
    <w:next w:val="Normal"/>
    <w:link w:val="SubtitleChar"/>
    <w:uiPriority w:val="11"/>
    <w:qFormat/>
    <w:rsid w:val="008A2FC2"/>
    <w:pPr>
      <w:numPr>
        <w:ilvl w:val="1"/>
      </w:numPr>
    </w:pPr>
    <w:rPr>
      <w:rFonts w:asciiTheme="majorHAnsi" w:eastAsiaTheme="majorEastAsia" w:hAnsiTheme="majorHAnsi" w:cstheme="majorBidi"/>
      <w:iCs/>
      <w:color w:val="1F497D" w:themeColor="text2"/>
      <w:spacing w:val="15"/>
      <w:sz w:val="52"/>
      <w:szCs w:val="24"/>
    </w:rPr>
  </w:style>
  <w:style w:type="character" w:customStyle="1" w:styleId="SubtitleChar">
    <w:name w:val="Subtitle Char"/>
    <w:basedOn w:val="DefaultParagraphFont"/>
    <w:link w:val="Subtitle"/>
    <w:uiPriority w:val="11"/>
    <w:rsid w:val="008A2FC2"/>
    <w:rPr>
      <w:rFonts w:asciiTheme="majorHAnsi" w:eastAsiaTheme="majorEastAsia" w:hAnsiTheme="majorHAnsi" w:cstheme="majorBidi"/>
      <w:iCs/>
      <w:color w:val="1F497D" w:themeColor="text2"/>
      <w:spacing w:val="15"/>
      <w:sz w:val="52"/>
      <w:szCs w:val="24"/>
    </w:rPr>
  </w:style>
  <w:style w:type="character" w:customStyle="1" w:styleId="Heading2Char">
    <w:name w:val="Heading 2 Char"/>
    <w:basedOn w:val="DefaultParagraphFont"/>
    <w:link w:val="Heading2"/>
    <w:uiPriority w:val="9"/>
    <w:rsid w:val="007219F2"/>
    <w:rPr>
      <w:rFonts w:eastAsiaTheme="majorEastAsia" w:cstheme="majorBidi"/>
      <w:b/>
      <w:bCs/>
      <w:sz w:val="26"/>
      <w:szCs w:val="26"/>
    </w:rPr>
  </w:style>
  <w:style w:type="character" w:customStyle="1" w:styleId="Heading1Char">
    <w:name w:val="Heading 1 Char"/>
    <w:basedOn w:val="DefaultParagraphFont"/>
    <w:link w:val="Heading1"/>
    <w:uiPriority w:val="9"/>
    <w:rsid w:val="00665956"/>
    <w:rPr>
      <w:rFonts w:ascii="Calibri" w:eastAsiaTheme="majorEastAsia" w:hAnsi="Calibri" w:cstheme="majorBidi"/>
      <w:b/>
      <w:bCs/>
      <w:sz w:val="28"/>
      <w:szCs w:val="28"/>
    </w:rPr>
  </w:style>
  <w:style w:type="paragraph" w:styleId="NoSpacing">
    <w:name w:val="No Spacing"/>
    <w:basedOn w:val="Normal"/>
    <w:uiPriority w:val="1"/>
    <w:qFormat/>
    <w:rsid w:val="00B24DF7"/>
    <w:pPr>
      <w:spacing w:after="0" w:line="240" w:lineRule="auto"/>
    </w:pPr>
  </w:style>
  <w:style w:type="paragraph" w:styleId="Header">
    <w:name w:val="header"/>
    <w:basedOn w:val="Normal"/>
    <w:link w:val="HeaderChar"/>
    <w:uiPriority w:val="99"/>
    <w:unhideWhenUsed/>
    <w:rsid w:val="008A2FC2"/>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A2F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FC2"/>
    <w:rPr>
      <w:rFonts w:ascii="Tahoma" w:hAnsi="Tahoma" w:cs="Tahoma"/>
      <w:sz w:val="16"/>
      <w:szCs w:val="16"/>
    </w:rPr>
  </w:style>
  <w:style w:type="paragraph" w:styleId="TOCHeading">
    <w:name w:val="TOC Heading"/>
    <w:basedOn w:val="Heading1"/>
    <w:next w:val="Normal"/>
    <w:uiPriority w:val="39"/>
    <w:semiHidden/>
    <w:unhideWhenUsed/>
    <w:qFormat/>
    <w:rsid w:val="00267122"/>
    <w:pPr>
      <w:spacing w:before="480"/>
      <w:outlineLvl w:val="9"/>
    </w:pPr>
    <w:rPr>
      <w:lang w:eastAsia="ja-JP"/>
    </w:rPr>
  </w:style>
  <w:style w:type="paragraph" w:styleId="TOC1">
    <w:name w:val="toc 1"/>
    <w:basedOn w:val="Normal"/>
    <w:next w:val="Normal"/>
    <w:autoRedefine/>
    <w:uiPriority w:val="39"/>
    <w:unhideWhenUsed/>
    <w:rsid w:val="00267122"/>
    <w:pPr>
      <w:spacing w:after="100"/>
    </w:pPr>
  </w:style>
  <w:style w:type="character" w:styleId="Hyperlink">
    <w:name w:val="Hyperlink"/>
    <w:basedOn w:val="DefaultParagraphFont"/>
    <w:uiPriority w:val="99"/>
    <w:unhideWhenUsed/>
    <w:rsid w:val="00267122"/>
    <w:rPr>
      <w:color w:val="0000FF" w:themeColor="hyperlink"/>
      <w:u w:val="single"/>
    </w:rPr>
  </w:style>
  <w:style w:type="paragraph" w:styleId="ListParagraph">
    <w:name w:val="List Paragraph"/>
    <w:basedOn w:val="Normal"/>
    <w:uiPriority w:val="34"/>
    <w:qFormat/>
    <w:rsid w:val="00114988"/>
    <w:pPr>
      <w:ind w:left="720"/>
      <w:contextualSpacing/>
    </w:pPr>
  </w:style>
  <w:style w:type="paragraph" w:styleId="FootnoteText">
    <w:name w:val="footnote text"/>
    <w:basedOn w:val="Normal"/>
    <w:link w:val="FootnoteTextChar"/>
    <w:uiPriority w:val="99"/>
    <w:semiHidden/>
    <w:unhideWhenUsed/>
    <w:rsid w:val="00114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988"/>
    <w:rPr>
      <w:sz w:val="20"/>
      <w:szCs w:val="20"/>
    </w:rPr>
  </w:style>
  <w:style w:type="character" w:styleId="FootnoteReference">
    <w:name w:val="footnote reference"/>
    <w:basedOn w:val="DefaultParagraphFont"/>
    <w:uiPriority w:val="99"/>
    <w:semiHidden/>
    <w:unhideWhenUsed/>
    <w:rsid w:val="00114988"/>
    <w:rPr>
      <w:vertAlign w:val="superscript"/>
    </w:rPr>
  </w:style>
  <w:style w:type="character" w:styleId="CommentReference">
    <w:name w:val="annotation reference"/>
    <w:basedOn w:val="DefaultParagraphFont"/>
    <w:uiPriority w:val="99"/>
    <w:semiHidden/>
    <w:unhideWhenUsed/>
    <w:rsid w:val="00DF1CE4"/>
    <w:rPr>
      <w:sz w:val="16"/>
      <w:szCs w:val="16"/>
    </w:rPr>
  </w:style>
  <w:style w:type="paragraph" w:styleId="CommentText">
    <w:name w:val="annotation text"/>
    <w:basedOn w:val="Normal"/>
    <w:link w:val="CommentTextChar"/>
    <w:uiPriority w:val="99"/>
    <w:semiHidden/>
    <w:unhideWhenUsed/>
    <w:rsid w:val="00DF1CE4"/>
    <w:pPr>
      <w:spacing w:line="240" w:lineRule="auto"/>
    </w:pPr>
    <w:rPr>
      <w:sz w:val="20"/>
      <w:szCs w:val="20"/>
    </w:rPr>
  </w:style>
  <w:style w:type="character" w:customStyle="1" w:styleId="CommentTextChar">
    <w:name w:val="Comment Text Char"/>
    <w:basedOn w:val="DefaultParagraphFont"/>
    <w:link w:val="CommentText"/>
    <w:uiPriority w:val="99"/>
    <w:semiHidden/>
    <w:rsid w:val="00DF1CE4"/>
    <w:rPr>
      <w:sz w:val="20"/>
      <w:szCs w:val="20"/>
    </w:rPr>
  </w:style>
  <w:style w:type="paragraph" w:styleId="CommentSubject">
    <w:name w:val="annotation subject"/>
    <w:basedOn w:val="CommentText"/>
    <w:next w:val="CommentText"/>
    <w:link w:val="CommentSubjectChar"/>
    <w:uiPriority w:val="99"/>
    <w:semiHidden/>
    <w:unhideWhenUsed/>
    <w:rsid w:val="00DF1CE4"/>
    <w:rPr>
      <w:b/>
      <w:bCs/>
    </w:rPr>
  </w:style>
  <w:style w:type="character" w:customStyle="1" w:styleId="CommentSubjectChar">
    <w:name w:val="Comment Subject Char"/>
    <w:basedOn w:val="CommentTextChar"/>
    <w:link w:val="CommentSubject"/>
    <w:uiPriority w:val="99"/>
    <w:semiHidden/>
    <w:rsid w:val="00DF1CE4"/>
    <w:rPr>
      <w:b/>
      <w:bCs/>
      <w:sz w:val="20"/>
      <w:szCs w:val="20"/>
    </w:rPr>
  </w:style>
  <w:style w:type="character" w:customStyle="1" w:styleId="Heading3Char">
    <w:name w:val="Heading 3 Char"/>
    <w:basedOn w:val="DefaultParagraphFont"/>
    <w:link w:val="Heading3"/>
    <w:uiPriority w:val="9"/>
    <w:rsid w:val="006C10D8"/>
    <w:rPr>
      <w:rFonts w:eastAsiaTheme="majorEastAsia" w:cstheme="majorBidi"/>
      <w:b/>
      <w:bCs/>
      <w:sz w:val="26"/>
      <w:u w:val="single"/>
    </w:rPr>
  </w:style>
  <w:style w:type="character" w:customStyle="1" w:styleId="Heading4Char">
    <w:name w:val="Heading 4 Char"/>
    <w:basedOn w:val="DefaultParagraphFont"/>
    <w:link w:val="Heading4"/>
    <w:uiPriority w:val="9"/>
    <w:rsid w:val="008851A9"/>
    <w:rPr>
      <w:rFonts w:asciiTheme="majorHAnsi" w:eastAsiaTheme="majorEastAsia" w:hAnsiTheme="majorHAnsi" w:cstheme="majorBidi"/>
      <w:b/>
      <w:bCs/>
      <w:iCs/>
    </w:rPr>
  </w:style>
  <w:style w:type="character" w:styleId="Emphasis">
    <w:name w:val="Emphasis"/>
    <w:basedOn w:val="DefaultParagraphFont"/>
    <w:uiPriority w:val="20"/>
    <w:qFormat/>
    <w:rsid w:val="005B4B87"/>
    <w:rPr>
      <w:i/>
      <w:iCs/>
    </w:rPr>
  </w:style>
  <w:style w:type="character" w:styleId="Strong">
    <w:name w:val="Strong"/>
    <w:basedOn w:val="DefaultParagraphFont"/>
    <w:uiPriority w:val="22"/>
    <w:qFormat/>
    <w:rsid w:val="00CF29EF"/>
    <w:rPr>
      <w:b/>
      <w:bCs/>
    </w:rPr>
  </w:style>
  <w:style w:type="paragraph" w:styleId="TOC3">
    <w:name w:val="toc 3"/>
    <w:basedOn w:val="Normal"/>
    <w:next w:val="Normal"/>
    <w:autoRedefine/>
    <w:uiPriority w:val="39"/>
    <w:unhideWhenUsed/>
    <w:rsid w:val="00CF29EF"/>
    <w:pPr>
      <w:spacing w:after="100"/>
      <w:ind w:left="440"/>
    </w:pPr>
  </w:style>
  <w:style w:type="table" w:styleId="TableGrid">
    <w:name w:val="Table Grid"/>
    <w:basedOn w:val="TableNormal"/>
    <w:uiPriority w:val="59"/>
    <w:rsid w:val="00CF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F24A7"/>
    <w:rPr>
      <w:rFonts w:cs="Times New Roman"/>
    </w:rPr>
  </w:style>
  <w:style w:type="paragraph" w:customStyle="1" w:styleId="Subtitle2">
    <w:name w:val="Subtitle 2"/>
    <w:basedOn w:val="Subtitle"/>
    <w:uiPriority w:val="11"/>
    <w:qFormat/>
    <w:rsid w:val="00A16CC6"/>
    <w:pPr>
      <w:numPr>
        <w:ilvl w:val="0"/>
      </w:numPr>
      <w:spacing w:after="120"/>
      <w:jc w:val="center"/>
    </w:pPr>
    <w:rPr>
      <w:rFonts w:ascii="Calibri" w:eastAsiaTheme="minorHAnsi" w:hAnsi="Calibri" w:cs="Arial"/>
      <w:b/>
      <w:iCs w:val="0"/>
      <w:color w:val="auto"/>
      <w:spacing w:val="0"/>
      <w:sz w:val="32"/>
    </w:rPr>
  </w:style>
  <w:style w:type="paragraph" w:customStyle="1" w:styleId="DataQATable">
    <w:name w:val="DataQA Table"/>
    <w:basedOn w:val="NoSpacing"/>
    <w:qFormat/>
    <w:rsid w:val="00BC1D21"/>
    <w:pPr>
      <w:jc w:val="right"/>
    </w:pPr>
    <w:rPr>
      <w:rFonts w:cs="Times New Roman"/>
      <w:sz w:val="20"/>
      <w:szCs w:val="20"/>
    </w:rPr>
  </w:style>
  <w:style w:type="character" w:customStyle="1" w:styleId="Heading5Char">
    <w:name w:val="Heading 5 Char"/>
    <w:basedOn w:val="DefaultParagraphFont"/>
    <w:link w:val="Heading5"/>
    <w:uiPriority w:val="9"/>
    <w:rsid w:val="007219F2"/>
    <w:rPr>
      <w:rFonts w:asciiTheme="majorHAnsi" w:eastAsiaTheme="majorEastAsia" w:hAnsiTheme="majorHAnsi" w:cstheme="majorBidi"/>
      <w:u w:val="single"/>
    </w:rPr>
  </w:style>
  <w:style w:type="paragraph" w:styleId="TOC2">
    <w:name w:val="toc 2"/>
    <w:basedOn w:val="Normal"/>
    <w:next w:val="Normal"/>
    <w:autoRedefine/>
    <w:uiPriority w:val="39"/>
    <w:unhideWhenUsed/>
    <w:rsid w:val="00660E2E"/>
    <w:pPr>
      <w:spacing w:after="100"/>
      <w:ind w:left="220"/>
    </w:pPr>
  </w:style>
  <w:style w:type="paragraph" w:styleId="Revision">
    <w:name w:val="Revision"/>
    <w:hidden/>
    <w:uiPriority w:val="99"/>
    <w:semiHidden/>
    <w:rsid w:val="003F7F44"/>
    <w:pPr>
      <w:spacing w:after="0" w:line="240" w:lineRule="auto"/>
    </w:pPr>
  </w:style>
  <w:style w:type="character" w:styleId="EndnoteReference">
    <w:name w:val="endnote reference"/>
    <w:basedOn w:val="DefaultParagraphFont"/>
    <w:uiPriority w:val="99"/>
    <w:unhideWhenUsed/>
    <w:rsid w:val="00036922"/>
    <w:rPr>
      <w:vertAlign w:val="superscript"/>
    </w:rPr>
  </w:style>
  <w:style w:type="paragraph" w:customStyle="1" w:styleId="PPRFootnote">
    <w:name w:val="PPR Footnote"/>
    <w:basedOn w:val="Normal"/>
    <w:link w:val="PPRFootnoteChar"/>
    <w:uiPriority w:val="99"/>
    <w:qFormat/>
    <w:rsid w:val="00036922"/>
    <w:pPr>
      <w:widowControl w:val="0"/>
      <w:spacing w:after="0" w:line="239" w:lineRule="auto"/>
      <w:ind w:left="120" w:right="-50"/>
    </w:pPr>
    <w:rPr>
      <w:rFonts w:ascii="Times New Roman" w:eastAsia="Times New Roman" w:hAnsi="Times New Roman" w:cs="Times New Roman"/>
      <w:position w:val="6"/>
      <w:sz w:val="14"/>
    </w:rPr>
  </w:style>
  <w:style w:type="character" w:customStyle="1" w:styleId="PPRFootnoteChar">
    <w:name w:val="PPR Footnote Char"/>
    <w:basedOn w:val="DefaultParagraphFont"/>
    <w:link w:val="PPRFootnote"/>
    <w:uiPriority w:val="99"/>
    <w:rsid w:val="00036922"/>
    <w:rPr>
      <w:rFonts w:ascii="Times New Roman" w:eastAsia="Times New Roman" w:hAnsi="Times New Roman" w:cs="Times New Roman"/>
      <w:position w:val="6"/>
      <w:sz w:val="14"/>
    </w:rPr>
  </w:style>
  <w:style w:type="paragraph" w:customStyle="1" w:styleId="PPRBodyText">
    <w:name w:val="PPR Body Text"/>
    <w:basedOn w:val="Normal"/>
    <w:link w:val="PPRBodyTextChar"/>
    <w:uiPriority w:val="99"/>
    <w:rsid w:val="00036922"/>
    <w:pPr>
      <w:spacing w:before="120" w:after="120" w:line="240" w:lineRule="auto"/>
    </w:pPr>
    <w:rPr>
      <w:rFonts w:ascii="Times New Roman" w:eastAsia="Calibri" w:hAnsi="Times New Roman" w:cs="Times New Roman"/>
    </w:rPr>
  </w:style>
  <w:style w:type="character" w:customStyle="1" w:styleId="PPRBodyTextChar">
    <w:name w:val="PPR Body Text Char"/>
    <w:basedOn w:val="DefaultParagraphFont"/>
    <w:link w:val="PPRBodyText"/>
    <w:uiPriority w:val="99"/>
    <w:locked/>
    <w:rsid w:val="00036922"/>
    <w:rPr>
      <w:rFonts w:ascii="Times New Roman" w:eastAsia="Calibri" w:hAnsi="Times New Roman" w:cs="Times New Roman"/>
    </w:rPr>
  </w:style>
  <w:style w:type="paragraph" w:customStyle="1" w:styleId="Default">
    <w:name w:val="Default"/>
    <w:rsid w:val="0098083C"/>
    <w:pPr>
      <w:autoSpaceDE w:val="0"/>
      <w:autoSpaceDN w:val="0"/>
      <w:adjustRightInd w:val="0"/>
      <w:spacing w:after="0" w:line="240" w:lineRule="auto"/>
    </w:pPr>
    <w:rPr>
      <w:rFonts w:ascii="Calibri" w:hAnsi="Calibri" w:cs="Calibri"/>
      <w:color w:val="000000"/>
      <w:sz w:val="24"/>
      <w:szCs w:val="24"/>
    </w:rPr>
  </w:style>
  <w:style w:type="table" w:styleId="LightShading">
    <w:name w:val="Light Shading"/>
    <w:basedOn w:val="TableNormal"/>
    <w:uiPriority w:val="60"/>
    <w:rsid w:val="00CF4C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704">
      <w:bodyDiv w:val="1"/>
      <w:marLeft w:val="0"/>
      <w:marRight w:val="0"/>
      <w:marTop w:val="0"/>
      <w:marBottom w:val="0"/>
      <w:divBdr>
        <w:top w:val="none" w:sz="0" w:space="0" w:color="auto"/>
        <w:left w:val="none" w:sz="0" w:space="0" w:color="auto"/>
        <w:bottom w:val="none" w:sz="0" w:space="0" w:color="auto"/>
        <w:right w:val="none" w:sz="0" w:space="0" w:color="auto"/>
      </w:divBdr>
    </w:div>
    <w:div w:id="202794662">
      <w:bodyDiv w:val="1"/>
      <w:marLeft w:val="0"/>
      <w:marRight w:val="0"/>
      <w:marTop w:val="0"/>
      <w:marBottom w:val="0"/>
      <w:divBdr>
        <w:top w:val="none" w:sz="0" w:space="0" w:color="auto"/>
        <w:left w:val="none" w:sz="0" w:space="0" w:color="auto"/>
        <w:bottom w:val="none" w:sz="0" w:space="0" w:color="auto"/>
        <w:right w:val="none" w:sz="0" w:space="0" w:color="auto"/>
      </w:divBdr>
    </w:div>
    <w:div w:id="438457070">
      <w:bodyDiv w:val="1"/>
      <w:marLeft w:val="0"/>
      <w:marRight w:val="0"/>
      <w:marTop w:val="0"/>
      <w:marBottom w:val="0"/>
      <w:divBdr>
        <w:top w:val="none" w:sz="0" w:space="0" w:color="auto"/>
        <w:left w:val="none" w:sz="0" w:space="0" w:color="auto"/>
        <w:bottom w:val="none" w:sz="0" w:space="0" w:color="auto"/>
        <w:right w:val="none" w:sz="0" w:space="0" w:color="auto"/>
      </w:divBdr>
    </w:div>
    <w:div w:id="649361659">
      <w:bodyDiv w:val="1"/>
      <w:marLeft w:val="0"/>
      <w:marRight w:val="0"/>
      <w:marTop w:val="0"/>
      <w:marBottom w:val="0"/>
      <w:divBdr>
        <w:top w:val="none" w:sz="0" w:space="0" w:color="auto"/>
        <w:left w:val="none" w:sz="0" w:space="0" w:color="auto"/>
        <w:bottom w:val="none" w:sz="0" w:space="0" w:color="auto"/>
        <w:right w:val="none" w:sz="0" w:space="0" w:color="auto"/>
      </w:divBdr>
    </w:div>
    <w:div w:id="756753318">
      <w:bodyDiv w:val="1"/>
      <w:marLeft w:val="0"/>
      <w:marRight w:val="0"/>
      <w:marTop w:val="0"/>
      <w:marBottom w:val="0"/>
      <w:divBdr>
        <w:top w:val="none" w:sz="0" w:space="0" w:color="auto"/>
        <w:left w:val="none" w:sz="0" w:space="0" w:color="auto"/>
        <w:bottom w:val="none" w:sz="0" w:space="0" w:color="auto"/>
        <w:right w:val="none" w:sz="0" w:space="0" w:color="auto"/>
      </w:divBdr>
    </w:div>
    <w:div w:id="831406733">
      <w:bodyDiv w:val="1"/>
      <w:marLeft w:val="0"/>
      <w:marRight w:val="0"/>
      <w:marTop w:val="0"/>
      <w:marBottom w:val="0"/>
      <w:divBdr>
        <w:top w:val="none" w:sz="0" w:space="0" w:color="auto"/>
        <w:left w:val="none" w:sz="0" w:space="0" w:color="auto"/>
        <w:bottom w:val="none" w:sz="0" w:space="0" w:color="auto"/>
        <w:right w:val="none" w:sz="0" w:space="0" w:color="auto"/>
      </w:divBdr>
    </w:div>
    <w:div w:id="920991702">
      <w:bodyDiv w:val="1"/>
      <w:marLeft w:val="0"/>
      <w:marRight w:val="0"/>
      <w:marTop w:val="0"/>
      <w:marBottom w:val="0"/>
      <w:divBdr>
        <w:top w:val="none" w:sz="0" w:space="0" w:color="auto"/>
        <w:left w:val="none" w:sz="0" w:space="0" w:color="auto"/>
        <w:bottom w:val="none" w:sz="0" w:space="0" w:color="auto"/>
        <w:right w:val="none" w:sz="0" w:space="0" w:color="auto"/>
      </w:divBdr>
    </w:div>
    <w:div w:id="935018733">
      <w:bodyDiv w:val="1"/>
      <w:marLeft w:val="120"/>
      <w:marRight w:val="120"/>
      <w:marTop w:val="0"/>
      <w:marBottom w:val="0"/>
      <w:divBdr>
        <w:top w:val="none" w:sz="0" w:space="0" w:color="auto"/>
        <w:left w:val="none" w:sz="0" w:space="0" w:color="auto"/>
        <w:bottom w:val="none" w:sz="0" w:space="0" w:color="auto"/>
        <w:right w:val="none" w:sz="0" w:space="0" w:color="auto"/>
      </w:divBdr>
      <w:divsChild>
        <w:div w:id="147552726">
          <w:marLeft w:val="0"/>
          <w:marRight w:val="0"/>
          <w:marTop w:val="0"/>
          <w:marBottom w:val="0"/>
          <w:divBdr>
            <w:top w:val="none" w:sz="0" w:space="0" w:color="auto"/>
            <w:left w:val="none" w:sz="0" w:space="0" w:color="auto"/>
            <w:bottom w:val="none" w:sz="0" w:space="0" w:color="auto"/>
            <w:right w:val="none" w:sz="0" w:space="0" w:color="auto"/>
          </w:divBdr>
          <w:divsChild>
            <w:div w:id="12056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2118">
      <w:bodyDiv w:val="1"/>
      <w:marLeft w:val="0"/>
      <w:marRight w:val="0"/>
      <w:marTop w:val="0"/>
      <w:marBottom w:val="0"/>
      <w:divBdr>
        <w:top w:val="none" w:sz="0" w:space="0" w:color="auto"/>
        <w:left w:val="none" w:sz="0" w:space="0" w:color="auto"/>
        <w:bottom w:val="none" w:sz="0" w:space="0" w:color="auto"/>
        <w:right w:val="none" w:sz="0" w:space="0" w:color="auto"/>
      </w:divBdr>
    </w:div>
    <w:div w:id="1182547751">
      <w:bodyDiv w:val="1"/>
      <w:marLeft w:val="0"/>
      <w:marRight w:val="0"/>
      <w:marTop w:val="0"/>
      <w:marBottom w:val="0"/>
      <w:divBdr>
        <w:top w:val="none" w:sz="0" w:space="0" w:color="auto"/>
        <w:left w:val="none" w:sz="0" w:space="0" w:color="auto"/>
        <w:bottom w:val="none" w:sz="0" w:space="0" w:color="auto"/>
        <w:right w:val="none" w:sz="0" w:space="0" w:color="auto"/>
      </w:divBdr>
    </w:div>
    <w:div w:id="1479684245">
      <w:bodyDiv w:val="1"/>
      <w:marLeft w:val="0"/>
      <w:marRight w:val="0"/>
      <w:marTop w:val="0"/>
      <w:marBottom w:val="0"/>
      <w:divBdr>
        <w:top w:val="none" w:sz="0" w:space="0" w:color="auto"/>
        <w:left w:val="none" w:sz="0" w:space="0" w:color="auto"/>
        <w:bottom w:val="none" w:sz="0" w:space="0" w:color="auto"/>
        <w:right w:val="none" w:sz="0" w:space="0" w:color="auto"/>
      </w:divBdr>
    </w:div>
    <w:div w:id="1601600473">
      <w:bodyDiv w:val="1"/>
      <w:marLeft w:val="0"/>
      <w:marRight w:val="0"/>
      <w:marTop w:val="0"/>
      <w:marBottom w:val="0"/>
      <w:divBdr>
        <w:top w:val="none" w:sz="0" w:space="0" w:color="auto"/>
        <w:left w:val="none" w:sz="0" w:space="0" w:color="auto"/>
        <w:bottom w:val="none" w:sz="0" w:space="0" w:color="auto"/>
        <w:right w:val="none" w:sz="0" w:space="0" w:color="auto"/>
      </w:divBdr>
    </w:div>
    <w:div w:id="1607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HH Internet Page" ma:contentTypeID="0x010100C568DB52D9D0A14D9B2FDCC96666E9F2007948130EC3DB064584E219954237AF390064DEA0F50FC8C147B0B6EA0636C4A7D40091D93D3A3C99514781B979AD8F860E9F00BE82889BE1BDD848B726159F5C60437E" ma:contentTypeVersion="4" ma:contentTypeDescription="Use this content type for HH Internet Pages" ma:contentTypeScope="" ma:versionID="9276fe12368026e8777a6a1d15c64c24">
  <xsd:schema xmlns:xsd="http://www.w3.org/2001/XMLSchema" xmlns:xs="http://www.w3.org/2001/XMLSchema" xmlns:p="http://schemas.microsoft.com/office/2006/metadata/properties" xmlns:ns1="http://schemas.microsoft.com/sharepoint/v3" xmlns:ns2="15fed199-785c-41dd-80c4-b4119d809082" targetNamespace="http://schemas.microsoft.com/office/2006/metadata/properties" ma:root="true" ma:fieldsID="8047f53ef6ede3b09b52281f86f5955a" ns1:_="" ns2:_="">
    <xsd:import namespace="http://schemas.microsoft.com/sharepoint/v3"/>
    <xsd:import namespace="15fed199-785c-41dd-80c4-b4119d809082"/>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SummaryLinks2" minOccurs="0"/>
                <xsd:element ref="ns1:SeoBrowserTitle" minOccurs="0"/>
                <xsd:element ref="ns1:SeoMetaDescription" minOccurs="0"/>
                <xsd:element ref="ns1:SeoKeywords" minOccurs="0"/>
                <xsd:element ref="ns1:SeoRobotsNoIndex" minOccurs="0"/>
                <xsd:element ref="ns2:n0ad17990ad2453a88de36febbeb5246" minOccurs="0"/>
                <xsd:element ref="ns2:TaxCatchAll" minOccurs="0"/>
                <xsd:element ref="ns2:TaxCatchAllLabel" minOccurs="0"/>
                <xsd:element ref="ns2:j0297349de644f78885f8b6d038b01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SummaryLinks2" ma:index="24" nillable="true" ma:displayName="Summary Links 2" ma:description="Summary Links 2 is a site column created by the Publishing feature. It is used on the Welcome Page Content Type to display a second set of links." ma:internalName="SummaryLinks2">
      <xsd:simpleType>
        <xsd:restriction base="dms:Unknown"/>
      </xsd:simpleType>
    </xsd:element>
    <xsd:element name="SeoBrowserTitle" ma:index="25"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6"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7" nillable="true" ma:displayName="Meta Keywords" ma:description="Meta Keywords" ma:hidden="true" ma:internalName="SeoKeywords">
      <xsd:simpleType>
        <xsd:restriction base="dms:Text"/>
      </xsd:simpleType>
    </xsd:element>
    <xsd:element name="SeoRobotsNoIndex" ma:index="28"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fed199-785c-41dd-80c4-b4119d809082" elementFormDefault="qualified">
    <xsd:import namespace="http://schemas.microsoft.com/office/2006/documentManagement/types"/>
    <xsd:import namespace="http://schemas.microsoft.com/office/infopath/2007/PartnerControls"/>
    <xsd:element name="n0ad17990ad2453a88de36febbeb5246" ma:index="29" nillable="true" ma:taxonomy="true" ma:internalName="n0ad17990ad2453a88de36febbeb5246" ma:taxonomyFieldName="Content_x0020_Category" ma:displayName="Content Category" ma:default="" ma:fieldId="{70ad1799-0ad2-453a-88de-36febbeb5246}" ma:sspId="83025100-e092-4eee-b8f9-de1558fda12b" ma:termSetId="45bfa73c-3066-4496-84b5-9f18580c3984"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2fbeeb42-babd-4756-ab38-55319f2cea4e}" ma:internalName="TaxCatchAll" ma:showField="CatchAllData" ma:web="26bf5321-1145-4024-8fe4-7684367eb814">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2fbeeb42-babd-4756-ab38-55319f2cea4e}" ma:internalName="TaxCatchAllLabel" ma:readOnly="true" ma:showField="CatchAllDataLabel" ma:web="26bf5321-1145-4024-8fe4-7684367eb814">
      <xsd:complexType>
        <xsd:complexContent>
          <xsd:extension base="dms:MultiChoiceLookup">
            <xsd:sequence>
              <xsd:element name="Value" type="dms:Lookup" maxOccurs="unbounded" minOccurs="0" nillable="true"/>
            </xsd:sequence>
          </xsd:extension>
        </xsd:complexContent>
      </xsd:complexType>
    </xsd:element>
    <xsd:element name="j0297349de644f78885f8b6d038b0176" ma:index="33" nillable="true" ma:taxonomy="true" ma:internalName="j0297349de644f78885f8b6d038b0176" ma:taxonomyFieldName="Topic" ma:displayName="Content Topic" ma:default="" ma:fieldId="{30297349-de64-4f78-885f-8b6d038b0176}" ma:sspId="83025100-e092-4eee-b8f9-de1558fda12b" ma:termSetId="e168c475-9642-4e66-817f-8e041aab0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3025100-e092-4eee-b8f9-de1558fda12b" ContentTypeId="0x010100C568DB52D9D0A14D9B2FDCC96666E9F2007948130EC3DB064584E219954237AF390064DEA0F50FC8C147B0B6EA0636C4A7D40091D93D3A3C99514781B979AD8F860E9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0297349de644f78885f8b6d038b0176 xmlns="15fed199-785c-41dd-80c4-b4119d809082">
      <Terms xmlns="http://schemas.microsoft.com/office/infopath/2007/PartnerControls"/>
    </j0297349de644f78885f8b6d038b0176>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SummaryLinks2 xmlns="http://schemas.microsoft.com/sharepoint/v3" xsi:nil="true"/>
    <Audience xmlns="http://schemas.microsoft.com/sharepoint/v3" xsi:nil="true"/>
    <PublishingIsFurlPage xmlns="http://schemas.microsoft.com/sharepoint/v3" xsi:nil="true"/>
    <PublishingPageImage xmlns="http://schemas.microsoft.com/sharepoint/v3" xsi:nil="true"/>
    <SummaryLinks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n0ad17990ad2453a88de36febbeb5246 xmlns="15fed199-785c-41dd-80c4-b4119d809082">
      <Terms xmlns="http://schemas.microsoft.com/office/infopath/2007/PartnerControls"/>
    </n0ad17990ad2453a88de36febbeb5246>
    <TaxCatchAll xmlns="15fed199-785c-41dd-80c4-b4119d809082"/>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FAAB3092-0A7D-4407-8378-A592C3B74892}"/>
</file>

<file path=customXml/itemProps2.xml><?xml version="1.0" encoding="utf-8"?>
<ds:datastoreItem xmlns:ds="http://schemas.openxmlformats.org/officeDocument/2006/customXml" ds:itemID="{E7AD8A88-7B9E-4B84-9298-A3B0579037D7}"/>
</file>

<file path=customXml/itemProps3.xml><?xml version="1.0" encoding="utf-8"?>
<ds:datastoreItem xmlns:ds="http://schemas.openxmlformats.org/officeDocument/2006/customXml" ds:itemID="{A44333FA-D4B1-4E2A-A5B9-CA7EC6F03314}"/>
</file>

<file path=customXml/itemProps4.xml><?xml version="1.0" encoding="utf-8"?>
<ds:datastoreItem xmlns:ds="http://schemas.openxmlformats.org/officeDocument/2006/customXml" ds:itemID="{38542AFC-B6D7-46A7-A5A2-E7C2402211E0}"/>
</file>

<file path=customXml/itemProps5.xml><?xml version="1.0" encoding="utf-8"?>
<ds:datastoreItem xmlns:ds="http://schemas.openxmlformats.org/officeDocument/2006/customXml" ds:itemID="{B3BC0CD9-9F57-4234-B764-6FEB0452C3A1}"/>
</file>

<file path=docProps/app.xml><?xml version="1.0" encoding="utf-8"?>
<Properties xmlns="http://schemas.openxmlformats.org/officeDocument/2006/extended-properties" xmlns:vt="http://schemas.openxmlformats.org/officeDocument/2006/docPropsVTypes">
  <Template>Normal.dotm</Template>
  <TotalTime>22</TotalTime>
  <Pages>8</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14452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Sanders</dc:creator>
  <cp:lastModifiedBy>ligy855</cp:lastModifiedBy>
  <cp:revision>9</cp:revision>
  <cp:lastPrinted>2014-04-16T15:02:00Z</cp:lastPrinted>
  <dcterms:created xsi:type="dcterms:W3CDTF">2015-03-06T17:39:00Z</dcterms:created>
  <dcterms:modified xsi:type="dcterms:W3CDTF">2016-03-21T17:22:00Z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0x010104007746B344426FF34E9F9132BF10B1DBD8</vt:lpwstr>
  </property>
  <property fmtid="{D5CDD505-2E9C-101B-9397-08002B2CF9AE}" pid="3" name="Content Category">
    <vt:lpwstr/>
  </property>
  <property fmtid="{D5CDD505-2E9C-101B-9397-08002B2CF9AE}" pid="4" name="Topic">
    <vt:lpwstr/>
  </property>
  <property fmtid="{D5CDD505-2E9C-101B-9397-08002B2CF9AE}" pid="5" name="Order">
    <vt:r8>96000</vt:r8>
  </property>
</Properties>
</file>