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C9" w:rsidRPr="006C12C2" w:rsidRDefault="006C12C2" w:rsidP="006C12C2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C12C2">
        <w:rPr>
          <w:b/>
          <w:sz w:val="28"/>
          <w:szCs w:val="28"/>
        </w:rPr>
        <w:t>Pediatrics Workgroup Initiatives</w:t>
      </w:r>
    </w:p>
    <w:p w:rsidR="006C12C2" w:rsidRDefault="006C12C2" w:rsidP="006C12C2">
      <w:pPr>
        <w:contextualSpacing/>
        <w:jc w:val="center"/>
        <w:rPr>
          <w:b/>
          <w:sz w:val="28"/>
          <w:szCs w:val="28"/>
        </w:rPr>
      </w:pPr>
      <w:r w:rsidRPr="006C12C2">
        <w:rPr>
          <w:b/>
          <w:sz w:val="28"/>
          <w:szCs w:val="28"/>
        </w:rPr>
        <w:t>Survey Ranking Results – July 12, 2012</w:t>
      </w:r>
    </w:p>
    <w:p w:rsidR="006C12C2" w:rsidRDefault="006C12C2" w:rsidP="006C12C2">
      <w:pPr>
        <w:contextualSpacing/>
        <w:jc w:val="center"/>
        <w:rPr>
          <w:b/>
          <w:sz w:val="28"/>
          <w:szCs w:val="28"/>
        </w:rPr>
      </w:pPr>
    </w:p>
    <w:p w:rsidR="006C12C2" w:rsidRPr="006C12C2" w:rsidRDefault="006C12C2" w:rsidP="006C12C2">
      <w:pPr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"/>
        <w:gridCol w:w="6750"/>
        <w:gridCol w:w="1743"/>
      </w:tblGrid>
      <w:tr w:rsidR="006C12C2" w:rsidRPr="00D65CC9" w:rsidTr="005703FC">
        <w:trPr>
          <w:tblHeader/>
        </w:trPr>
        <w:tc>
          <w:tcPr>
            <w:tcW w:w="1008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750" w:type="dxa"/>
          </w:tcPr>
          <w:p w:rsidR="006C12C2" w:rsidRPr="00EA58C6" w:rsidRDefault="006C12C2" w:rsidP="00D65CC9">
            <w:pPr>
              <w:jc w:val="center"/>
              <w:rPr>
                <w:rFonts w:asciiTheme="majorHAnsi" w:hAnsiTheme="majorHAnsi"/>
                <w:b/>
              </w:rPr>
            </w:pPr>
            <w:r w:rsidRPr="00EA58C6">
              <w:rPr>
                <w:rFonts w:asciiTheme="majorHAnsi" w:hAnsiTheme="majorHAnsi"/>
                <w:b/>
              </w:rPr>
              <w:t>Initiatives</w:t>
            </w:r>
          </w:p>
        </w:tc>
        <w:tc>
          <w:tcPr>
            <w:tcW w:w="1743" w:type="dxa"/>
          </w:tcPr>
          <w:p w:rsidR="006C12C2" w:rsidRPr="00EA58C6" w:rsidRDefault="006C12C2" w:rsidP="00D65CC9">
            <w:pPr>
              <w:jc w:val="center"/>
              <w:rPr>
                <w:rFonts w:asciiTheme="majorHAnsi" w:hAnsiTheme="majorHAnsi"/>
                <w:b/>
              </w:rPr>
            </w:pPr>
            <w:r w:rsidRPr="00EA58C6">
              <w:rPr>
                <w:rFonts w:asciiTheme="majorHAnsi" w:hAnsiTheme="majorHAnsi"/>
                <w:b/>
              </w:rPr>
              <w:t>Ranking</w:t>
            </w: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Increase provider capacity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Develop programs to increase the supply of specialists; increase specialty spots &amp; faculty support, recruitment of specialists from other states/counties; increase mid-levels (NP/PA) to be specialists.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4.27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2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Chronically Ill Children Clinics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Expand High-Risk Children's Clinic to increase scope of services to include care coordination and case management for high-risk chronic illnesses.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3.91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3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Increase hours of operation for Pediatric clinics (nights and weekends)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Use existing clinic buildings; staff clinics with mid-level practitioners from 5:00 pm to 11:00 pm M-F and Saturday 8-2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3.82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4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Implement community wide-system for long term mental health and substance abuse services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Expand behavioral health access with outgoing support (i.e., therapies, transportation, basic life needs.  Create a consortium of care model.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3.82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5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Expand access to school-based clinics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Develop programs to utilize school based clinics as medical homes with strong navigation services. Increase the capacity for school-based services. Identify clinic site to serve as a feeder pattern for target population.  Need a strong relationship with anchoring school district. </w:t>
            </w:r>
          </w:p>
          <w:p w:rsidR="006C12C2" w:rsidRPr="00D65CC9" w:rsidRDefault="006C12C2" w:rsidP="00D65CC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3.73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6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Develop pediatric obesity education program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Collaborate with community-based organizations, schools, etc. in development of a training program.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3.70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7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Develop a program to increase immunizations for aged-out children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Develop capacity in the community to immunize children that have aged-out of current programs.  Collaborate with local community programs including the public health clinics and health care industry.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3.70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8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Implement a pediatric evidence-based home visit program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Develop 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lastRenderedPageBreak/>
              <w:t xml:space="preserve">programs that utilize mid-level practitioners for preventive health screening, chronic disease management, high risk OB in areas that have inadequate access.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lastRenderedPageBreak/>
              <w:t>3.64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lastRenderedPageBreak/>
              <w:t>9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Implement regional quality measurements infrastructure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Contract for a neutral entity to collect and conduct data analysis to report health outcomes.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3.64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10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Implement Pediatric Medical Home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Redesign care delivery, in accordance with medical home recognition program, or expand scope to a specified population/community.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3.60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11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Increase inpatient pediatric behavioral health beds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Partner with local providers to implement a program to increase pediatric beds.  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3.55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12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Develop programs to address teen health needs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Implement educational programs related to sexual education, psychiatric issues, obesity, and drug use. Partner with FQHCs and other community-based providers.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3.55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13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Expand access to evidence-based parenting training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Develop training program with existing community based organizations.  Programs have shown reduction in incidence of child abuse, decrease hospitalizations, empower families to be school-ready, etc.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3.45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14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Develop and expand education program for injury prevention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Outreach and e</w:t>
            </w:r>
            <w:r>
              <w:rPr>
                <w:rFonts w:asciiTheme="majorHAnsi" w:hAnsiTheme="majorHAnsi" w:cs="Microsoft Sans Serif"/>
                <w:bCs/>
                <w:sz w:val="22"/>
              </w:rPr>
              <w:t>ducate target population; coll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>ab</w:t>
            </w:r>
            <w:r>
              <w:rPr>
                <w:rFonts w:asciiTheme="majorHAnsi" w:hAnsiTheme="majorHAnsi" w:cs="Microsoft Sans Serif"/>
                <w:bCs/>
                <w:sz w:val="22"/>
              </w:rPr>
              <w:t>o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rate with community organizations; link with American College of Surgeon (designated trauma program).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3.36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15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Increase access to specialty care for children with autism and related conditions - clinic and in-home treatment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Fund 1:1 applied behavior analysis intervention for children with autism which is the empirically based treatment found to be most effective.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3.27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16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Replicate successful community programs to encourage healthy behaviors.  Expand existing programs at YMCA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(Project MEND) including children activities and parent education.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3.27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lastRenderedPageBreak/>
              <w:t>17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Increase access to pediatric dental services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Develop programs to target high-risk populations.  Increase provider capacity. Utilize mobile vans, as appropriate.  Routine cleaning and preventive care improves better health outcomes.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3.09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18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Implement an evidence-based care coordination model in a target population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Implement Patient Navigation with community health workers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3.09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19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Develop a program of therapeutic interventions for children 0-36 months with developmental delays, but not qualifying for ECI who are un/under insured or who would otherwise benefit from services that are a blend of an ECI model and a private model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Develop a system of therapeutic services that blends the best aspects of private therapy and a natural environment based model.   The addition of social work services and monitoring by a child development specialist enhances the service model beyond that of a private clinic.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2.91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20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Increase use of language and cultural competency tools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Develop programs that can be replicated in the community to meet the language and cultural competency of the target population.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2.64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C12C2" w:rsidRPr="00D65CC9" w:rsidTr="00EA58C6">
        <w:tc>
          <w:tcPr>
            <w:tcW w:w="1008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21</w:t>
            </w:r>
          </w:p>
        </w:tc>
        <w:tc>
          <w:tcPr>
            <w:tcW w:w="6750" w:type="dxa"/>
          </w:tcPr>
          <w:p w:rsidR="006C12C2" w:rsidRPr="00D65CC9" w:rsidRDefault="006C12C2" w:rsidP="00D65CC9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D65CC9">
              <w:rPr>
                <w:rFonts w:asciiTheme="majorHAnsi" w:hAnsiTheme="majorHAnsi" w:cs="Microsoft Sans Serif"/>
                <w:bCs/>
                <w:sz w:val="22"/>
              </w:rPr>
              <w:t>Pediatric Urologic Services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D65CC9">
              <w:rPr>
                <w:rFonts w:asciiTheme="majorHAnsi" w:hAnsiTheme="majorHAnsi" w:cs="Microsoft Sans Serif"/>
                <w:bCs/>
                <w:sz w:val="22"/>
              </w:rPr>
              <w:t xml:space="preserve">  Expand pediatric urologic services in the Houston area. Educate community about the availability of services in lieu of emergency departments. </w:t>
            </w:r>
          </w:p>
          <w:p w:rsidR="006C12C2" w:rsidRPr="00D65CC9" w:rsidRDefault="006C12C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43" w:type="dxa"/>
          </w:tcPr>
          <w:p w:rsidR="006C12C2" w:rsidRPr="00D65CC9" w:rsidRDefault="006C12C2" w:rsidP="00D65CC9">
            <w:pPr>
              <w:jc w:val="center"/>
              <w:rPr>
                <w:rFonts w:asciiTheme="majorHAnsi" w:hAnsiTheme="majorHAnsi" w:cs="Microsoft Sans Serif"/>
                <w:sz w:val="22"/>
              </w:rPr>
            </w:pPr>
            <w:r w:rsidRPr="00D65CC9">
              <w:rPr>
                <w:rFonts w:asciiTheme="majorHAnsi" w:hAnsiTheme="majorHAnsi" w:cs="Microsoft Sans Serif"/>
                <w:sz w:val="22"/>
              </w:rPr>
              <w:t>2.45</w:t>
            </w:r>
          </w:p>
          <w:p w:rsidR="006C12C2" w:rsidRPr="00D65CC9" w:rsidRDefault="006C12C2" w:rsidP="00D65CC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E74A6F" w:rsidRPr="00D65CC9" w:rsidRDefault="00E74A6F">
      <w:pPr>
        <w:rPr>
          <w:rFonts w:asciiTheme="majorHAnsi" w:hAnsiTheme="majorHAnsi"/>
          <w:sz w:val="22"/>
        </w:rPr>
      </w:pPr>
    </w:p>
    <w:sectPr w:rsidR="00E74A6F" w:rsidRPr="00D65C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9C" w:rsidRDefault="0062649C" w:rsidP="006C12C2">
      <w:pPr>
        <w:spacing w:before="0" w:after="0" w:line="240" w:lineRule="auto"/>
      </w:pPr>
      <w:r>
        <w:separator/>
      </w:r>
    </w:p>
  </w:endnote>
  <w:endnote w:type="continuationSeparator" w:id="0">
    <w:p w:rsidR="0062649C" w:rsidRDefault="0062649C" w:rsidP="006C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C2" w:rsidRDefault="006C12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Survey Ranking of Initiatives – July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46DFA" w:rsidRPr="00346DF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C12C2" w:rsidRDefault="006C12C2">
    <w:pPr>
      <w:pStyle w:val="Footer"/>
    </w:pPr>
    <w:r>
      <w:t>Pediatrics Workgroup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9C" w:rsidRDefault="0062649C" w:rsidP="006C12C2">
      <w:pPr>
        <w:spacing w:before="0" w:after="0" w:line="240" w:lineRule="auto"/>
      </w:pPr>
      <w:r>
        <w:separator/>
      </w:r>
    </w:p>
  </w:footnote>
  <w:footnote w:type="continuationSeparator" w:id="0">
    <w:p w:rsidR="0062649C" w:rsidRDefault="0062649C" w:rsidP="006C12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C9"/>
    <w:rsid w:val="00346DFA"/>
    <w:rsid w:val="004669C2"/>
    <w:rsid w:val="004E71E1"/>
    <w:rsid w:val="005703FC"/>
    <w:rsid w:val="0057115A"/>
    <w:rsid w:val="0062649C"/>
    <w:rsid w:val="006C12C2"/>
    <w:rsid w:val="0084471B"/>
    <w:rsid w:val="00A664A6"/>
    <w:rsid w:val="00CC26B0"/>
    <w:rsid w:val="00D65CC9"/>
    <w:rsid w:val="00E74A6F"/>
    <w:rsid w:val="00E94CCB"/>
    <w:rsid w:val="00E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A"/>
    <w:pPr>
      <w:spacing w:before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9C2"/>
    <w:pPr>
      <w:keepNext/>
      <w:keepLines/>
      <w:pageBreakBefore/>
      <w:spacing w:before="480" w:after="12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9C2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9C2"/>
    <w:pPr>
      <w:keepNext/>
      <w:keepLines/>
      <w:spacing w:before="240" w:after="120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9C2"/>
    <w:pPr>
      <w:keepNext/>
      <w:keepLines/>
      <w:spacing w:before="240" w:after="120"/>
      <w:outlineLvl w:val="3"/>
    </w:pPr>
    <w:rPr>
      <w:rFonts w:asciiTheme="minorHAnsi" w:eastAsiaTheme="majorEastAsia" w:hAnsiTheme="minorHAnsi" w:cstheme="majorBidi"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4669C2"/>
    <w:pPr>
      <w:spacing w:before="0" w:after="40" w:line="240" w:lineRule="auto"/>
    </w:pPr>
    <w:rPr>
      <w:rFonts w:ascii="Calibri" w:eastAsia="Times New Roman" w:hAnsi="Calibri" w:cstheme="minorBidi"/>
      <w:sz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9C2"/>
    <w:rPr>
      <w:rFonts w:ascii="Calibri" w:eastAsia="Times New Roman" w:hAnsi="Calibri"/>
      <w:sz w:val="1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669C2"/>
    <w:rPr>
      <w:rFonts w:ascii="Cambria" w:eastAsiaTheme="majorEastAsia" w:hAnsi="Cambria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57115A"/>
    <w:pPr>
      <w:spacing w:before="0" w:after="300" w:line="240" w:lineRule="auto"/>
      <w:contextualSpacing/>
      <w:outlineLvl w:val="0"/>
    </w:pPr>
    <w:rPr>
      <w:rFonts w:ascii="Cambria" w:hAnsi="Cambria" w:cstheme="minorBidi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7115A"/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69C2"/>
    <w:rPr>
      <w:rFonts w:eastAsiaTheme="majorEastAsia" w:cstheme="majorBidi"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9C2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69C2"/>
    <w:rPr>
      <w:rFonts w:eastAsiaTheme="majorEastAsia" w:cstheme="majorBidi"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E71E1"/>
    <w:pPr>
      <w:spacing w:after="120" w:line="320" w:lineRule="exact"/>
    </w:pPr>
    <w:rPr>
      <w:rFonts w:asciiTheme="minorHAnsi" w:hAnsiTheme="minorHAnsi" w:cstheme="minorBidi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E71E1"/>
    <w:rPr>
      <w:szCs w:val="24"/>
    </w:rPr>
  </w:style>
  <w:style w:type="table" w:styleId="TableGrid">
    <w:name w:val="Table Grid"/>
    <w:basedOn w:val="TableNormal"/>
    <w:uiPriority w:val="59"/>
    <w:rsid w:val="00D6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2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C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2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C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A"/>
    <w:pPr>
      <w:spacing w:before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9C2"/>
    <w:pPr>
      <w:keepNext/>
      <w:keepLines/>
      <w:pageBreakBefore/>
      <w:spacing w:before="480" w:after="12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9C2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9C2"/>
    <w:pPr>
      <w:keepNext/>
      <w:keepLines/>
      <w:spacing w:before="240" w:after="120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9C2"/>
    <w:pPr>
      <w:keepNext/>
      <w:keepLines/>
      <w:spacing w:before="240" w:after="120"/>
      <w:outlineLvl w:val="3"/>
    </w:pPr>
    <w:rPr>
      <w:rFonts w:asciiTheme="minorHAnsi" w:eastAsiaTheme="majorEastAsia" w:hAnsiTheme="minorHAnsi" w:cstheme="majorBidi"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4669C2"/>
    <w:pPr>
      <w:spacing w:before="0" w:after="40" w:line="240" w:lineRule="auto"/>
    </w:pPr>
    <w:rPr>
      <w:rFonts w:ascii="Calibri" w:eastAsia="Times New Roman" w:hAnsi="Calibri" w:cstheme="minorBidi"/>
      <w:sz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9C2"/>
    <w:rPr>
      <w:rFonts w:ascii="Calibri" w:eastAsia="Times New Roman" w:hAnsi="Calibri"/>
      <w:sz w:val="1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669C2"/>
    <w:rPr>
      <w:rFonts w:ascii="Cambria" w:eastAsiaTheme="majorEastAsia" w:hAnsi="Cambria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57115A"/>
    <w:pPr>
      <w:spacing w:before="0" w:after="300" w:line="240" w:lineRule="auto"/>
      <w:contextualSpacing/>
      <w:outlineLvl w:val="0"/>
    </w:pPr>
    <w:rPr>
      <w:rFonts w:ascii="Cambria" w:hAnsi="Cambria" w:cstheme="minorBidi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7115A"/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69C2"/>
    <w:rPr>
      <w:rFonts w:eastAsiaTheme="majorEastAsia" w:cstheme="majorBidi"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9C2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69C2"/>
    <w:rPr>
      <w:rFonts w:eastAsiaTheme="majorEastAsia" w:cstheme="majorBidi"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E71E1"/>
    <w:pPr>
      <w:spacing w:after="120" w:line="320" w:lineRule="exact"/>
    </w:pPr>
    <w:rPr>
      <w:rFonts w:asciiTheme="minorHAnsi" w:hAnsiTheme="minorHAnsi" w:cstheme="minorBidi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E71E1"/>
    <w:rPr>
      <w:szCs w:val="24"/>
    </w:rPr>
  </w:style>
  <w:style w:type="table" w:styleId="TableGrid">
    <w:name w:val="Table Grid"/>
    <w:basedOn w:val="TableNormal"/>
    <w:uiPriority w:val="59"/>
    <w:rsid w:val="00D6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2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C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2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C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5870C9F4FB54298E0705047451BDD" ma:contentTypeVersion="1" ma:contentTypeDescription="Create a new document." ma:contentTypeScope="" ma:versionID="0a6768a50bd26a2de1f9ee6dbb682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65320B-27C2-48CA-8847-BC7B7771310B}"/>
</file>

<file path=customXml/itemProps2.xml><?xml version="1.0" encoding="utf-8"?>
<ds:datastoreItem xmlns:ds="http://schemas.openxmlformats.org/officeDocument/2006/customXml" ds:itemID="{158C3F92-9A05-4F0A-A204-ED655076F009}"/>
</file>

<file path=customXml/itemProps3.xml><?xml version="1.0" encoding="utf-8"?>
<ds:datastoreItem xmlns:ds="http://schemas.openxmlformats.org/officeDocument/2006/customXml" ds:itemID="{962CC8BF-A86D-445B-A077-3A785616A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Hilbelink</dc:creator>
  <cp:lastModifiedBy>Scroggins, Karle G</cp:lastModifiedBy>
  <cp:revision>2</cp:revision>
  <dcterms:created xsi:type="dcterms:W3CDTF">2014-04-17T14:35:00Z</dcterms:created>
  <dcterms:modified xsi:type="dcterms:W3CDTF">2014-04-17T14:35:00Z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0x010104007746B344426FF34E9F9132BF10B1DBD8</vt:lpwstr>
  </property>
  <property fmtid="{D5CDD505-2E9C-101B-9397-08002B2CF9AE}" pid="3" name="Order">
    <vt:r8>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CatchAll">
    <vt:lpwstr/>
  </property>
</Properties>
</file>