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AA" w:rsidRPr="00CD536F" w:rsidRDefault="00CD536F" w:rsidP="00CD536F">
      <w:pPr>
        <w:jc w:val="center"/>
        <w:rPr>
          <w:rFonts w:asciiTheme="majorHAnsi" w:hAnsiTheme="majorHAnsi"/>
          <w:b/>
          <w:sz w:val="28"/>
          <w:szCs w:val="28"/>
        </w:rPr>
      </w:pPr>
      <w:bookmarkStart w:id="0" w:name="_GoBack"/>
      <w:bookmarkEnd w:id="0"/>
      <w:r w:rsidRPr="00CD536F">
        <w:rPr>
          <w:rFonts w:asciiTheme="majorHAnsi" w:hAnsiTheme="majorHAnsi"/>
          <w:b/>
          <w:sz w:val="28"/>
          <w:szCs w:val="28"/>
        </w:rPr>
        <w:t>WORKFORCE WORKGROUP INITIATIVES</w:t>
      </w:r>
    </w:p>
    <w:p w:rsidR="00CD536F" w:rsidRPr="00CD536F" w:rsidRDefault="00CD536F" w:rsidP="00CD536F">
      <w:pPr>
        <w:jc w:val="center"/>
        <w:rPr>
          <w:rFonts w:asciiTheme="majorHAnsi" w:hAnsiTheme="majorHAnsi"/>
          <w:b/>
          <w:sz w:val="28"/>
          <w:szCs w:val="28"/>
        </w:rPr>
      </w:pPr>
      <w:r w:rsidRPr="00CD536F">
        <w:rPr>
          <w:rFonts w:asciiTheme="majorHAnsi" w:hAnsiTheme="majorHAnsi"/>
          <w:b/>
          <w:sz w:val="28"/>
          <w:szCs w:val="28"/>
        </w:rPr>
        <w:t>SURVEY RANKING RESULTS – JULY 12, 2011</w:t>
      </w:r>
    </w:p>
    <w:p w:rsidR="00CD536F" w:rsidRDefault="00CD536F"/>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6"/>
        <w:gridCol w:w="7760"/>
        <w:gridCol w:w="1260"/>
      </w:tblGrid>
      <w:tr w:rsidR="00555579" w:rsidTr="00A87396">
        <w:trPr>
          <w:tblHeader/>
        </w:trPr>
        <w:tc>
          <w:tcPr>
            <w:tcW w:w="558" w:type="dxa"/>
          </w:tcPr>
          <w:p w:rsidR="00555579" w:rsidRDefault="00555579">
            <w:pPr>
              <w:rPr>
                <w:rFonts w:asciiTheme="majorHAnsi" w:hAnsiTheme="majorHAnsi"/>
              </w:rPr>
            </w:pPr>
          </w:p>
        </w:tc>
        <w:tc>
          <w:tcPr>
            <w:tcW w:w="7884" w:type="dxa"/>
          </w:tcPr>
          <w:p w:rsidR="00555579" w:rsidRPr="00CD536F" w:rsidRDefault="00555579" w:rsidP="00CD536F">
            <w:pPr>
              <w:jc w:val="center"/>
              <w:rPr>
                <w:rFonts w:asciiTheme="majorHAnsi" w:hAnsiTheme="majorHAnsi"/>
                <w:b/>
                <w:sz w:val="24"/>
                <w:szCs w:val="24"/>
              </w:rPr>
            </w:pPr>
            <w:r w:rsidRPr="00CD536F">
              <w:rPr>
                <w:rFonts w:asciiTheme="majorHAnsi" w:hAnsiTheme="majorHAnsi"/>
                <w:b/>
                <w:sz w:val="24"/>
                <w:szCs w:val="24"/>
              </w:rPr>
              <w:t>INITIATIVE DESCRIPTION</w:t>
            </w:r>
          </w:p>
        </w:tc>
        <w:tc>
          <w:tcPr>
            <w:tcW w:w="1134" w:type="dxa"/>
          </w:tcPr>
          <w:p w:rsidR="00555579" w:rsidRPr="00CD536F" w:rsidRDefault="00555579" w:rsidP="00CD536F">
            <w:pPr>
              <w:jc w:val="center"/>
              <w:rPr>
                <w:rFonts w:asciiTheme="majorHAnsi" w:hAnsiTheme="majorHAnsi"/>
                <w:b/>
                <w:sz w:val="24"/>
                <w:szCs w:val="24"/>
              </w:rPr>
            </w:pPr>
            <w:r w:rsidRPr="00CD536F">
              <w:rPr>
                <w:rFonts w:asciiTheme="majorHAnsi" w:hAnsiTheme="majorHAnsi"/>
                <w:b/>
                <w:sz w:val="24"/>
                <w:szCs w:val="24"/>
              </w:rPr>
              <w:t>RANKING</w:t>
            </w:r>
          </w:p>
        </w:tc>
      </w:tr>
      <w:tr w:rsidR="00555579" w:rsidTr="00555579">
        <w:tc>
          <w:tcPr>
            <w:tcW w:w="558" w:type="dxa"/>
          </w:tcPr>
          <w:p w:rsidR="00555579" w:rsidRDefault="00555579">
            <w:pPr>
              <w:rPr>
                <w:rFonts w:asciiTheme="majorHAnsi" w:hAnsiTheme="majorHAnsi"/>
              </w:rPr>
            </w:pPr>
            <w:r>
              <w:rPr>
                <w:rFonts w:asciiTheme="majorHAnsi" w:hAnsiTheme="majorHAnsi"/>
              </w:rPr>
              <w:t>1</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Develop Workforce Enhancement Initiative(s) to Support Access to Providers in Underserved Markets and Areas (i.e., Nurse Practitioners, Physician Assistants, nurses, educators, etc.)</w:t>
            </w:r>
            <w:r>
              <w:rPr>
                <w:rFonts w:asciiTheme="majorHAnsi" w:hAnsiTheme="majorHAnsi" w:cs="Microsoft Sans Serif"/>
                <w:bCs/>
              </w:rPr>
              <w:t>:</w:t>
            </w:r>
            <w:r w:rsidRPr="00CD536F">
              <w:rPr>
                <w:rFonts w:asciiTheme="majorHAnsi" w:hAnsiTheme="majorHAnsi" w:cs="Microsoft Sans Serif"/>
                <w:bCs/>
              </w:rPr>
              <w:t xml:space="preserve">  Expand advanced practice RNs and P.A.s to increase primary and chronic care capacity and care coordination. </w:t>
            </w:r>
          </w:p>
          <w:p w:rsidR="00555579" w:rsidRPr="00CD536F" w:rsidRDefault="00555579" w:rsidP="00CD536F">
            <w:pPr>
              <w:tabs>
                <w:tab w:val="left" w:pos="3581"/>
              </w:tabs>
              <w:rPr>
                <w:rFonts w:asciiTheme="majorHAnsi" w:hAnsiTheme="majorHAnsi" w:cs="Microsoft Sans Serif"/>
                <w:bCs/>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4.36</w:t>
            </w:r>
          </w:p>
        </w:tc>
      </w:tr>
      <w:tr w:rsidR="00555579" w:rsidTr="00555579">
        <w:tc>
          <w:tcPr>
            <w:tcW w:w="558" w:type="dxa"/>
          </w:tcPr>
          <w:p w:rsidR="00555579" w:rsidRDefault="00555579">
            <w:pPr>
              <w:rPr>
                <w:rFonts w:asciiTheme="majorHAnsi" w:hAnsiTheme="majorHAnsi"/>
              </w:rPr>
            </w:pPr>
            <w:r>
              <w:rPr>
                <w:rFonts w:asciiTheme="majorHAnsi" w:hAnsiTheme="majorHAnsi"/>
              </w:rPr>
              <w:t>2</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 xml:space="preserve">Develop Workforce Enhancement Initiative(s) to Support Access to Providers in Underserved Markets and Areas (i.e., physicians, psychiatrists, </w:t>
            </w:r>
            <w:r>
              <w:rPr>
                <w:rFonts w:asciiTheme="majorHAnsi" w:hAnsiTheme="majorHAnsi" w:cs="Microsoft Sans Serif"/>
                <w:bCs/>
              </w:rPr>
              <w:t xml:space="preserve">psychologists LMSW, LRC, LMFT): </w:t>
            </w:r>
            <w:r w:rsidRPr="00CD536F">
              <w:rPr>
                <w:rFonts w:asciiTheme="majorHAnsi" w:hAnsiTheme="majorHAnsi" w:cs="Microsoft Sans Serif"/>
                <w:bCs/>
              </w:rPr>
              <w:t xml:space="preserve"> Expand training and recruitment of providers, including physicians, mid-level practitioners, &amp; specialists. Increase number of GME stipends, loan forgiveness, training sites, among other strategies.  Create model team-based clinics for physician primary care training sites. </w:t>
            </w:r>
          </w:p>
          <w:p w:rsidR="00555579" w:rsidRPr="00CD536F" w:rsidRDefault="00555579" w:rsidP="00CD536F">
            <w:pPr>
              <w:tabs>
                <w:tab w:val="left" w:pos="3581"/>
              </w:tabs>
              <w:rPr>
                <w:rFonts w:asciiTheme="majorHAnsi" w:hAnsiTheme="majorHAnsi"/>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4.08</w:t>
            </w:r>
          </w:p>
        </w:tc>
      </w:tr>
      <w:tr w:rsidR="00555579" w:rsidTr="00555579">
        <w:tc>
          <w:tcPr>
            <w:tcW w:w="558" w:type="dxa"/>
          </w:tcPr>
          <w:p w:rsidR="00555579" w:rsidRDefault="00555579">
            <w:pPr>
              <w:rPr>
                <w:rFonts w:asciiTheme="majorHAnsi" w:hAnsiTheme="majorHAnsi"/>
              </w:rPr>
            </w:pPr>
            <w:r>
              <w:rPr>
                <w:rFonts w:asciiTheme="majorHAnsi" w:hAnsiTheme="majorHAnsi"/>
              </w:rPr>
              <w:t>3</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Implement an integrated multi-disciplinary care system to promote team-based care</w:t>
            </w:r>
            <w:r>
              <w:rPr>
                <w:rFonts w:asciiTheme="majorHAnsi" w:hAnsiTheme="majorHAnsi" w:cs="Microsoft Sans Serif"/>
                <w:bCs/>
              </w:rPr>
              <w:t>:</w:t>
            </w:r>
            <w:r w:rsidRPr="00CD536F">
              <w:rPr>
                <w:rFonts w:asciiTheme="majorHAnsi" w:hAnsiTheme="majorHAnsi" w:cs="Microsoft Sans Serif"/>
                <w:bCs/>
              </w:rPr>
              <w:t xml:space="preserve">  Implement a practice team coordination model to create medical homes. Identify commitment of team, physician champion, and facilitator.  Undertake education and ensure shared decision-making in the team.  Need provider training for physicians, P.A.s, nurse practitioners, social workers, pharmacists.  Ensure embedded case management.  </w:t>
            </w:r>
          </w:p>
          <w:p w:rsidR="00555579" w:rsidRPr="00CD536F" w:rsidRDefault="00555579" w:rsidP="00CD536F">
            <w:pPr>
              <w:tabs>
                <w:tab w:val="left" w:pos="3581"/>
              </w:tabs>
              <w:rPr>
                <w:rFonts w:asciiTheme="majorHAnsi" w:hAnsiTheme="majorHAnsi" w:cs="Microsoft Sans Serif"/>
                <w:bCs/>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4.07</w:t>
            </w:r>
          </w:p>
        </w:tc>
      </w:tr>
      <w:tr w:rsidR="00555579" w:rsidTr="00555579">
        <w:tc>
          <w:tcPr>
            <w:tcW w:w="558" w:type="dxa"/>
          </w:tcPr>
          <w:p w:rsidR="00555579" w:rsidRDefault="00555579">
            <w:pPr>
              <w:rPr>
                <w:rFonts w:asciiTheme="majorHAnsi" w:hAnsiTheme="majorHAnsi"/>
              </w:rPr>
            </w:pPr>
            <w:r>
              <w:rPr>
                <w:rFonts w:asciiTheme="majorHAnsi" w:hAnsiTheme="majorHAnsi"/>
              </w:rPr>
              <w:t>4</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Develop Workforce Enhancement Initiative(s) to Support Access to Providers in Underserved Markets and Areas (i.e., Nurse Practitioners, Physician Assistants, nurses, educators, etc.)</w:t>
            </w:r>
            <w:r>
              <w:rPr>
                <w:rFonts w:asciiTheme="majorHAnsi" w:hAnsiTheme="majorHAnsi" w:cs="Microsoft Sans Serif"/>
                <w:bCs/>
              </w:rPr>
              <w:t>:</w:t>
            </w:r>
            <w:r w:rsidRPr="00CD536F">
              <w:rPr>
                <w:rFonts w:asciiTheme="majorHAnsi" w:hAnsiTheme="majorHAnsi" w:cs="Microsoft Sans Serif"/>
                <w:bCs/>
              </w:rPr>
              <w:t xml:space="preserve">  Increase care coordinators/navigators in primary care practices. Increase faculty and curriculum changes. </w:t>
            </w:r>
          </w:p>
          <w:p w:rsidR="00555579" w:rsidRPr="00CD536F" w:rsidRDefault="00555579" w:rsidP="00CD536F">
            <w:pPr>
              <w:tabs>
                <w:tab w:val="left" w:pos="3581"/>
              </w:tabs>
              <w:rPr>
                <w:rFonts w:asciiTheme="majorHAnsi" w:hAnsiTheme="majorHAnsi" w:cs="Microsoft Sans Serif"/>
                <w:bCs/>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4.0</w:t>
            </w:r>
          </w:p>
        </w:tc>
      </w:tr>
      <w:tr w:rsidR="00555579" w:rsidTr="00555579">
        <w:tc>
          <w:tcPr>
            <w:tcW w:w="558" w:type="dxa"/>
          </w:tcPr>
          <w:p w:rsidR="00555579" w:rsidRDefault="00555579">
            <w:pPr>
              <w:rPr>
                <w:rFonts w:asciiTheme="majorHAnsi" w:hAnsiTheme="majorHAnsi"/>
              </w:rPr>
            </w:pPr>
            <w:r>
              <w:rPr>
                <w:rFonts w:asciiTheme="majorHAnsi" w:hAnsiTheme="majorHAnsi"/>
              </w:rPr>
              <w:t>5</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Develop program to train and recruit mental health providers</w:t>
            </w:r>
            <w:r>
              <w:rPr>
                <w:rFonts w:asciiTheme="majorHAnsi" w:hAnsiTheme="majorHAnsi" w:cs="Microsoft Sans Serif"/>
                <w:bCs/>
              </w:rPr>
              <w:t>:</w:t>
            </w:r>
            <w:r w:rsidRPr="00CD536F">
              <w:rPr>
                <w:rFonts w:asciiTheme="majorHAnsi" w:hAnsiTheme="majorHAnsi" w:cs="Microsoft Sans Serif"/>
                <w:bCs/>
              </w:rPr>
              <w:t xml:space="preserve">  Develop the capability to expand the training and recruitment of mental health providers. </w:t>
            </w:r>
          </w:p>
          <w:p w:rsidR="00555579" w:rsidRPr="00CD536F" w:rsidRDefault="00555579" w:rsidP="00CD536F">
            <w:pPr>
              <w:tabs>
                <w:tab w:val="left" w:pos="3581"/>
              </w:tabs>
              <w:rPr>
                <w:rFonts w:asciiTheme="majorHAnsi" w:hAnsiTheme="majorHAnsi" w:cs="Microsoft Sans Serif"/>
                <w:bCs/>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3.67</w:t>
            </w:r>
          </w:p>
        </w:tc>
      </w:tr>
      <w:tr w:rsidR="00555579" w:rsidTr="00555579">
        <w:tc>
          <w:tcPr>
            <w:tcW w:w="558" w:type="dxa"/>
          </w:tcPr>
          <w:p w:rsidR="00555579" w:rsidRDefault="00555579">
            <w:pPr>
              <w:rPr>
                <w:rFonts w:asciiTheme="majorHAnsi" w:hAnsiTheme="majorHAnsi"/>
              </w:rPr>
            </w:pPr>
            <w:r>
              <w:rPr>
                <w:rFonts w:asciiTheme="majorHAnsi" w:hAnsiTheme="majorHAnsi"/>
              </w:rPr>
              <w:t>6</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Incentivize providers to commit to working in the region</w:t>
            </w:r>
            <w:r>
              <w:rPr>
                <w:rFonts w:asciiTheme="majorHAnsi" w:hAnsiTheme="majorHAnsi" w:cs="Microsoft Sans Serif"/>
                <w:bCs/>
              </w:rPr>
              <w:t>:</w:t>
            </w:r>
            <w:r w:rsidRPr="00CD536F">
              <w:rPr>
                <w:rFonts w:asciiTheme="majorHAnsi" w:hAnsiTheme="majorHAnsi" w:cs="Microsoft Sans Serif"/>
                <w:bCs/>
              </w:rPr>
              <w:t xml:space="preserve">  Develop incentive programs to stabilize the providers in the community. </w:t>
            </w:r>
          </w:p>
          <w:p w:rsidR="00555579" w:rsidRPr="00CD536F" w:rsidRDefault="00555579" w:rsidP="00CD536F">
            <w:pPr>
              <w:tabs>
                <w:tab w:val="left" w:pos="3581"/>
              </w:tabs>
              <w:rPr>
                <w:rFonts w:asciiTheme="majorHAnsi" w:hAnsiTheme="majorHAnsi" w:cs="Microsoft Sans Serif"/>
                <w:bCs/>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3.67</w:t>
            </w:r>
          </w:p>
        </w:tc>
      </w:tr>
      <w:tr w:rsidR="00555579" w:rsidTr="00555579">
        <w:tc>
          <w:tcPr>
            <w:tcW w:w="558" w:type="dxa"/>
          </w:tcPr>
          <w:p w:rsidR="00555579" w:rsidRDefault="00555579">
            <w:pPr>
              <w:rPr>
                <w:rFonts w:asciiTheme="majorHAnsi" w:hAnsiTheme="majorHAnsi"/>
              </w:rPr>
            </w:pPr>
            <w:r>
              <w:rPr>
                <w:rFonts w:asciiTheme="majorHAnsi" w:hAnsiTheme="majorHAnsi"/>
              </w:rPr>
              <w:t>7</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Expand Primary Care Access</w:t>
            </w:r>
            <w:r>
              <w:rPr>
                <w:rFonts w:asciiTheme="majorHAnsi" w:hAnsiTheme="majorHAnsi" w:cs="Microsoft Sans Serif"/>
                <w:bCs/>
              </w:rPr>
              <w:t>:</w:t>
            </w:r>
            <w:r w:rsidRPr="00CD536F">
              <w:rPr>
                <w:rFonts w:asciiTheme="majorHAnsi" w:hAnsiTheme="majorHAnsi" w:cs="Microsoft Sans Serif"/>
                <w:bCs/>
              </w:rPr>
              <w:t xml:space="preserve">  Create pool of scholarships to train community health workers and other training related to allied health professions.  </w:t>
            </w:r>
          </w:p>
          <w:p w:rsidR="00555579" w:rsidRPr="00CD536F" w:rsidRDefault="00555579" w:rsidP="00CD536F">
            <w:pPr>
              <w:tabs>
                <w:tab w:val="left" w:pos="3581"/>
              </w:tabs>
              <w:rPr>
                <w:rFonts w:asciiTheme="majorHAnsi" w:hAnsiTheme="majorHAnsi" w:cs="Microsoft Sans Serif"/>
                <w:bCs/>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3.60</w:t>
            </w:r>
          </w:p>
        </w:tc>
      </w:tr>
      <w:tr w:rsidR="00555579" w:rsidTr="00555579">
        <w:tc>
          <w:tcPr>
            <w:tcW w:w="558" w:type="dxa"/>
          </w:tcPr>
          <w:p w:rsidR="00555579" w:rsidRDefault="00555579">
            <w:pPr>
              <w:rPr>
                <w:rFonts w:asciiTheme="majorHAnsi" w:hAnsiTheme="majorHAnsi"/>
              </w:rPr>
            </w:pPr>
            <w:r>
              <w:rPr>
                <w:rFonts w:asciiTheme="majorHAnsi" w:hAnsiTheme="majorHAnsi"/>
              </w:rPr>
              <w:t>8</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Develop Workforce Enhancement Initiative(s) to Support Access to Providers in Underserved Markets and Areas (i.e., Nurse Practitioners, Physician Assistants, nurses, educators, etc.)</w:t>
            </w:r>
            <w:r>
              <w:rPr>
                <w:rFonts w:asciiTheme="majorHAnsi" w:hAnsiTheme="majorHAnsi" w:cs="Microsoft Sans Serif"/>
                <w:bCs/>
              </w:rPr>
              <w:t>:</w:t>
            </w:r>
            <w:r w:rsidRPr="00CD536F">
              <w:rPr>
                <w:rFonts w:asciiTheme="majorHAnsi" w:hAnsiTheme="majorHAnsi" w:cs="Microsoft Sans Serif"/>
                <w:bCs/>
              </w:rPr>
              <w:t xml:space="preserve">  Expand initial RN education to include more ambulatory sites of care, e.g., home health, FQHCs, etc. Focus on care coordination across the continuum. </w:t>
            </w:r>
          </w:p>
          <w:p w:rsidR="00555579" w:rsidRPr="00CD536F" w:rsidRDefault="00555579" w:rsidP="00CD536F">
            <w:pPr>
              <w:tabs>
                <w:tab w:val="left" w:pos="3581"/>
              </w:tabs>
              <w:rPr>
                <w:rFonts w:asciiTheme="majorHAnsi" w:hAnsiTheme="majorHAnsi" w:cs="Microsoft Sans Serif"/>
                <w:bCs/>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3.40</w:t>
            </w:r>
          </w:p>
        </w:tc>
      </w:tr>
      <w:tr w:rsidR="00555579" w:rsidTr="00555579">
        <w:tc>
          <w:tcPr>
            <w:tcW w:w="558" w:type="dxa"/>
          </w:tcPr>
          <w:p w:rsidR="00555579" w:rsidRDefault="00555579">
            <w:pPr>
              <w:rPr>
                <w:rFonts w:asciiTheme="majorHAnsi" w:hAnsiTheme="majorHAnsi"/>
              </w:rPr>
            </w:pPr>
            <w:r>
              <w:rPr>
                <w:rFonts w:asciiTheme="majorHAnsi" w:hAnsiTheme="majorHAnsi"/>
              </w:rPr>
              <w:t>9</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Develop Workforce Enhancement Initiative(s) to Support Access to Providers in Underserved Markets and Areas (i.e., Nurse Practitioners, Physician Assistants, nurses, educators, etc.)</w:t>
            </w:r>
            <w:r>
              <w:rPr>
                <w:rFonts w:asciiTheme="majorHAnsi" w:hAnsiTheme="majorHAnsi" w:cs="Microsoft Sans Serif"/>
                <w:bCs/>
              </w:rPr>
              <w:t>:</w:t>
            </w:r>
            <w:r w:rsidRPr="00CD536F">
              <w:rPr>
                <w:rFonts w:asciiTheme="majorHAnsi" w:hAnsiTheme="majorHAnsi" w:cs="Microsoft Sans Serif"/>
                <w:bCs/>
              </w:rPr>
              <w:t xml:space="preserve">  Improve transition from education to employment for nurses and other health professionals to make them more prepared; need </w:t>
            </w:r>
            <w:r w:rsidRPr="00CD536F">
              <w:rPr>
                <w:rFonts w:asciiTheme="majorHAnsi" w:hAnsiTheme="majorHAnsi" w:cs="Microsoft Sans Serif"/>
                <w:bCs/>
              </w:rPr>
              <w:lastRenderedPageBreak/>
              <w:t xml:space="preserve">clinical experience as part of training. </w:t>
            </w:r>
          </w:p>
          <w:p w:rsidR="00555579" w:rsidRPr="00CD536F" w:rsidRDefault="00555579" w:rsidP="00CD536F">
            <w:pPr>
              <w:tabs>
                <w:tab w:val="left" w:pos="3581"/>
              </w:tabs>
              <w:rPr>
                <w:rFonts w:asciiTheme="majorHAnsi" w:hAnsiTheme="majorHAnsi" w:cs="Microsoft Sans Serif"/>
                <w:bCs/>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lastRenderedPageBreak/>
              <w:t>3.4</w:t>
            </w:r>
          </w:p>
        </w:tc>
      </w:tr>
      <w:tr w:rsidR="00555579" w:rsidTr="00555579">
        <w:tc>
          <w:tcPr>
            <w:tcW w:w="558" w:type="dxa"/>
          </w:tcPr>
          <w:p w:rsidR="00555579" w:rsidRDefault="00555579">
            <w:pPr>
              <w:rPr>
                <w:rFonts w:asciiTheme="majorHAnsi" w:hAnsiTheme="majorHAnsi"/>
              </w:rPr>
            </w:pPr>
            <w:r>
              <w:rPr>
                <w:rFonts w:asciiTheme="majorHAnsi" w:hAnsiTheme="majorHAnsi"/>
              </w:rPr>
              <w:lastRenderedPageBreak/>
              <w:t>10</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Develop Workforce Enhancement Initiative(s) to Support Access to Providers in Underserved Markets and Areas (i.e., Nurse Practitioners, Physician Assistants, nurses, educators, etc.)</w:t>
            </w:r>
            <w:r>
              <w:rPr>
                <w:rFonts w:asciiTheme="majorHAnsi" w:hAnsiTheme="majorHAnsi" w:cs="Microsoft Sans Serif"/>
                <w:bCs/>
              </w:rPr>
              <w:t xml:space="preserve">: </w:t>
            </w:r>
            <w:r w:rsidRPr="00CD536F">
              <w:rPr>
                <w:rFonts w:asciiTheme="majorHAnsi" w:hAnsiTheme="majorHAnsi" w:cs="Microsoft Sans Serif"/>
                <w:bCs/>
              </w:rPr>
              <w:t xml:space="preserve">  Provide loan repayment forgiveness options at $20k for 2 years of service for eligible student loans to increase needed number of physicians.  Focus on primary care physicians, but could apply to other needed practitioners.  Physicians to be placed in clinics, FQHCs and other locations as needed. </w:t>
            </w:r>
          </w:p>
          <w:p w:rsidR="00555579" w:rsidRPr="00CD536F" w:rsidRDefault="00555579" w:rsidP="00CD536F">
            <w:pPr>
              <w:tabs>
                <w:tab w:val="left" w:pos="3581"/>
              </w:tabs>
              <w:rPr>
                <w:rFonts w:asciiTheme="majorHAnsi" w:hAnsiTheme="majorHAnsi" w:cs="Microsoft Sans Serif"/>
                <w:bCs/>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3.33</w:t>
            </w:r>
          </w:p>
        </w:tc>
      </w:tr>
      <w:tr w:rsidR="00555579" w:rsidTr="00555579">
        <w:tc>
          <w:tcPr>
            <w:tcW w:w="558" w:type="dxa"/>
          </w:tcPr>
          <w:p w:rsidR="00555579" w:rsidRDefault="00555579">
            <w:pPr>
              <w:rPr>
                <w:rFonts w:asciiTheme="majorHAnsi" w:hAnsiTheme="majorHAnsi"/>
              </w:rPr>
            </w:pPr>
            <w:r>
              <w:rPr>
                <w:rFonts w:asciiTheme="majorHAnsi" w:hAnsiTheme="majorHAnsi"/>
              </w:rPr>
              <w:t>11</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Expand Primary Care Access</w:t>
            </w:r>
            <w:r>
              <w:rPr>
                <w:rFonts w:asciiTheme="majorHAnsi" w:hAnsiTheme="majorHAnsi" w:cs="Microsoft Sans Serif"/>
                <w:bCs/>
              </w:rPr>
              <w:t>:</w:t>
            </w:r>
            <w:r w:rsidRPr="00CD536F">
              <w:rPr>
                <w:rFonts w:asciiTheme="majorHAnsi" w:hAnsiTheme="majorHAnsi" w:cs="Microsoft Sans Serif"/>
                <w:bCs/>
              </w:rPr>
              <w:t xml:space="preserve">  Educate and train advanced medical assistants to handle chronic care management. </w:t>
            </w:r>
          </w:p>
          <w:p w:rsidR="00555579" w:rsidRPr="00CD536F" w:rsidRDefault="00555579" w:rsidP="00CD536F">
            <w:pPr>
              <w:tabs>
                <w:tab w:val="left" w:pos="3581"/>
              </w:tabs>
              <w:rPr>
                <w:rFonts w:asciiTheme="majorHAnsi" w:hAnsiTheme="majorHAnsi" w:cs="Microsoft Sans Serif"/>
                <w:bCs/>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3.33</w:t>
            </w:r>
          </w:p>
        </w:tc>
      </w:tr>
      <w:tr w:rsidR="00555579" w:rsidTr="00555579">
        <w:tc>
          <w:tcPr>
            <w:tcW w:w="558" w:type="dxa"/>
          </w:tcPr>
          <w:p w:rsidR="00555579" w:rsidRDefault="00555579">
            <w:pPr>
              <w:rPr>
                <w:rFonts w:asciiTheme="majorHAnsi" w:hAnsiTheme="majorHAnsi"/>
              </w:rPr>
            </w:pPr>
            <w:r>
              <w:rPr>
                <w:rFonts w:asciiTheme="majorHAnsi" w:hAnsiTheme="majorHAnsi"/>
              </w:rPr>
              <w:t>12</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Develop opportunities to expand GME stipends</w:t>
            </w:r>
            <w:r>
              <w:rPr>
                <w:rFonts w:asciiTheme="majorHAnsi" w:hAnsiTheme="majorHAnsi" w:cs="Microsoft Sans Serif"/>
                <w:bCs/>
              </w:rPr>
              <w:t>:</w:t>
            </w:r>
            <w:r w:rsidRPr="00CD536F">
              <w:rPr>
                <w:rFonts w:asciiTheme="majorHAnsi" w:hAnsiTheme="majorHAnsi" w:cs="Microsoft Sans Serif"/>
                <w:bCs/>
              </w:rPr>
              <w:t xml:space="preserve">  Create programs in partnership with the local, state, and federal agencies to increase GME stipends. </w:t>
            </w:r>
          </w:p>
          <w:p w:rsidR="00555579" w:rsidRPr="00CD536F" w:rsidRDefault="00555579" w:rsidP="00CD536F">
            <w:pPr>
              <w:tabs>
                <w:tab w:val="left" w:pos="3581"/>
              </w:tabs>
              <w:rPr>
                <w:rFonts w:asciiTheme="majorHAnsi" w:hAnsiTheme="majorHAnsi" w:cs="Microsoft Sans Serif"/>
                <w:bCs/>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3.33</w:t>
            </w:r>
          </w:p>
        </w:tc>
      </w:tr>
      <w:tr w:rsidR="00555579" w:rsidTr="00555579">
        <w:tc>
          <w:tcPr>
            <w:tcW w:w="558" w:type="dxa"/>
          </w:tcPr>
          <w:p w:rsidR="00555579" w:rsidRDefault="00555579">
            <w:pPr>
              <w:rPr>
                <w:rFonts w:asciiTheme="majorHAnsi" w:hAnsiTheme="majorHAnsi"/>
              </w:rPr>
            </w:pPr>
            <w:r>
              <w:rPr>
                <w:rFonts w:asciiTheme="majorHAnsi" w:hAnsiTheme="majorHAnsi"/>
              </w:rPr>
              <w:t>13</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Improve educational and developmental outcomes of children in Sunnyside/South Park</w:t>
            </w:r>
            <w:r>
              <w:rPr>
                <w:rFonts w:asciiTheme="majorHAnsi" w:hAnsiTheme="majorHAnsi" w:cs="Microsoft Sans Serif"/>
                <w:bCs/>
              </w:rPr>
              <w:t>:</w:t>
            </w:r>
            <w:r w:rsidRPr="00CD536F">
              <w:rPr>
                <w:rFonts w:asciiTheme="majorHAnsi" w:hAnsiTheme="majorHAnsi" w:cs="Microsoft Sans Serif"/>
                <w:bCs/>
              </w:rPr>
              <w:t xml:space="preserve">   Expand "College Bound from Birth" initiative – increase school readiness for early school years and long term high school graduation rates.  </w:t>
            </w:r>
          </w:p>
          <w:p w:rsidR="00555579" w:rsidRPr="00CD536F" w:rsidRDefault="00555579" w:rsidP="00CD536F">
            <w:pPr>
              <w:tabs>
                <w:tab w:val="left" w:pos="3581"/>
              </w:tabs>
              <w:rPr>
                <w:rFonts w:asciiTheme="majorHAnsi" w:hAnsiTheme="majorHAnsi" w:cs="Microsoft Sans Serif"/>
                <w:bCs/>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3.20</w:t>
            </w:r>
          </w:p>
        </w:tc>
      </w:tr>
      <w:tr w:rsidR="00555579" w:rsidTr="00555579">
        <w:tc>
          <w:tcPr>
            <w:tcW w:w="558" w:type="dxa"/>
          </w:tcPr>
          <w:p w:rsidR="00555579" w:rsidRDefault="00555579">
            <w:pPr>
              <w:rPr>
                <w:rFonts w:asciiTheme="majorHAnsi" w:hAnsiTheme="majorHAnsi"/>
              </w:rPr>
            </w:pPr>
            <w:r>
              <w:rPr>
                <w:rFonts w:asciiTheme="majorHAnsi" w:hAnsiTheme="majorHAnsi"/>
              </w:rPr>
              <w:t>14</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Develop workforce pipeline</w:t>
            </w:r>
            <w:r>
              <w:rPr>
                <w:rFonts w:asciiTheme="majorHAnsi" w:hAnsiTheme="majorHAnsi" w:cs="Microsoft Sans Serif"/>
                <w:bCs/>
              </w:rPr>
              <w:t>:</w:t>
            </w:r>
            <w:r w:rsidRPr="00CD536F">
              <w:rPr>
                <w:rFonts w:asciiTheme="majorHAnsi" w:hAnsiTheme="majorHAnsi" w:cs="Microsoft Sans Serif"/>
                <w:bCs/>
              </w:rPr>
              <w:t xml:space="preserve">   Develop programs with primary and secondary schools to provide educational career opportunities in the medical field. </w:t>
            </w:r>
          </w:p>
          <w:p w:rsidR="00555579" w:rsidRPr="00CD536F" w:rsidRDefault="00555579" w:rsidP="00CD536F">
            <w:pPr>
              <w:tabs>
                <w:tab w:val="left" w:pos="3581"/>
              </w:tabs>
              <w:rPr>
                <w:rFonts w:asciiTheme="majorHAnsi" w:hAnsiTheme="majorHAnsi" w:cs="Microsoft Sans Serif"/>
                <w:bCs/>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3.07</w:t>
            </w:r>
          </w:p>
        </w:tc>
      </w:tr>
      <w:tr w:rsidR="00555579" w:rsidTr="00555579">
        <w:tc>
          <w:tcPr>
            <w:tcW w:w="558" w:type="dxa"/>
          </w:tcPr>
          <w:p w:rsidR="00555579" w:rsidRDefault="00555579">
            <w:pPr>
              <w:rPr>
                <w:rFonts w:asciiTheme="majorHAnsi" w:hAnsiTheme="majorHAnsi"/>
              </w:rPr>
            </w:pPr>
            <w:r>
              <w:rPr>
                <w:rFonts w:asciiTheme="majorHAnsi" w:hAnsiTheme="majorHAnsi"/>
              </w:rPr>
              <w:t>15</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Increase training for providers to serve persons with intellectual and development disabilities</w:t>
            </w:r>
            <w:r>
              <w:rPr>
                <w:rFonts w:asciiTheme="majorHAnsi" w:hAnsiTheme="majorHAnsi" w:cs="Microsoft Sans Serif"/>
                <w:bCs/>
              </w:rPr>
              <w:t xml:space="preserve">: </w:t>
            </w:r>
            <w:r w:rsidRPr="00CD536F">
              <w:rPr>
                <w:rFonts w:asciiTheme="majorHAnsi" w:hAnsiTheme="majorHAnsi" w:cs="Microsoft Sans Serif"/>
                <w:bCs/>
              </w:rPr>
              <w:t xml:space="preserve"> Develop training programs with CME credits to focus on the needs of the persons with intellectual and development disabilities.   </w:t>
            </w:r>
          </w:p>
          <w:p w:rsidR="00555579" w:rsidRPr="00CD536F" w:rsidRDefault="00555579" w:rsidP="00CD536F">
            <w:pPr>
              <w:tabs>
                <w:tab w:val="left" w:pos="3581"/>
              </w:tabs>
              <w:rPr>
                <w:rFonts w:asciiTheme="majorHAnsi" w:hAnsiTheme="majorHAnsi" w:cs="Microsoft Sans Serif"/>
                <w:bCs/>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3.07</w:t>
            </w:r>
          </w:p>
        </w:tc>
      </w:tr>
      <w:tr w:rsidR="00555579" w:rsidTr="00555579">
        <w:tc>
          <w:tcPr>
            <w:tcW w:w="558" w:type="dxa"/>
          </w:tcPr>
          <w:p w:rsidR="00555579" w:rsidRDefault="00555579">
            <w:pPr>
              <w:rPr>
                <w:rFonts w:asciiTheme="majorHAnsi" w:hAnsiTheme="majorHAnsi"/>
              </w:rPr>
            </w:pPr>
            <w:r>
              <w:rPr>
                <w:rFonts w:asciiTheme="majorHAnsi" w:hAnsiTheme="majorHAnsi"/>
              </w:rPr>
              <w:t>16</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Create training programs for entry in the behavioral health field</w:t>
            </w:r>
            <w:r>
              <w:rPr>
                <w:rFonts w:asciiTheme="majorHAnsi" w:hAnsiTheme="majorHAnsi" w:cs="Microsoft Sans Serif"/>
                <w:bCs/>
              </w:rPr>
              <w:t>:</w:t>
            </w:r>
            <w:r w:rsidRPr="00CD536F">
              <w:rPr>
                <w:rFonts w:asciiTheme="majorHAnsi" w:hAnsiTheme="majorHAnsi" w:cs="Microsoft Sans Serif"/>
                <w:bCs/>
              </w:rPr>
              <w:t xml:space="preserve">  Expand the Area Health Education Training Center (AHEC) programs. </w:t>
            </w:r>
          </w:p>
          <w:p w:rsidR="00555579" w:rsidRPr="00CD536F" w:rsidRDefault="00555579" w:rsidP="00CD536F">
            <w:pPr>
              <w:tabs>
                <w:tab w:val="left" w:pos="3581"/>
              </w:tabs>
              <w:rPr>
                <w:rFonts w:asciiTheme="majorHAnsi" w:hAnsiTheme="majorHAnsi" w:cs="Microsoft Sans Serif"/>
                <w:bCs/>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2.93</w:t>
            </w:r>
          </w:p>
        </w:tc>
      </w:tr>
      <w:tr w:rsidR="00555579" w:rsidTr="00555579">
        <w:tc>
          <w:tcPr>
            <w:tcW w:w="558" w:type="dxa"/>
          </w:tcPr>
          <w:p w:rsidR="00555579" w:rsidRDefault="00555579">
            <w:pPr>
              <w:rPr>
                <w:rFonts w:asciiTheme="majorHAnsi" w:hAnsiTheme="majorHAnsi"/>
              </w:rPr>
            </w:pPr>
            <w:r>
              <w:rPr>
                <w:rFonts w:asciiTheme="majorHAnsi" w:hAnsiTheme="majorHAnsi"/>
              </w:rPr>
              <w:t>17</w:t>
            </w:r>
          </w:p>
        </w:tc>
        <w:tc>
          <w:tcPr>
            <w:tcW w:w="7884" w:type="dxa"/>
          </w:tcPr>
          <w:p w:rsidR="00555579" w:rsidRPr="00CD536F" w:rsidRDefault="00555579" w:rsidP="00CD536F">
            <w:pPr>
              <w:tabs>
                <w:tab w:val="left" w:pos="3581"/>
              </w:tabs>
              <w:rPr>
                <w:rFonts w:asciiTheme="majorHAnsi" w:hAnsiTheme="majorHAnsi" w:cs="Microsoft Sans Serif"/>
                <w:bCs/>
              </w:rPr>
            </w:pPr>
            <w:r w:rsidRPr="00CD536F">
              <w:rPr>
                <w:rFonts w:asciiTheme="majorHAnsi" w:hAnsiTheme="majorHAnsi" w:cs="Microsoft Sans Serif"/>
                <w:bCs/>
              </w:rPr>
              <w:t xml:space="preserve">Develop a formal program to educate the independent, private-practice physicians in the community about the need to formally coordinate the care that they deliver as a requirement for their survival as independent entities.  This initiative will create and deliver an education program about how to alter a provider's practice processes to thrive in new delivery models.   The concept is to create a professional education program to deliver to community providers, a real life view of the impact of ACO, medical home, and pay-for-performance models. </w:t>
            </w:r>
          </w:p>
          <w:p w:rsidR="00555579" w:rsidRPr="00CD536F" w:rsidRDefault="00555579" w:rsidP="00CD536F">
            <w:pPr>
              <w:tabs>
                <w:tab w:val="left" w:pos="3581"/>
              </w:tabs>
              <w:rPr>
                <w:rFonts w:asciiTheme="majorHAnsi" w:hAnsiTheme="majorHAnsi" w:cs="Microsoft Sans Serif"/>
                <w:bCs/>
              </w:rPr>
            </w:pP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2.87</w:t>
            </w:r>
          </w:p>
        </w:tc>
      </w:tr>
      <w:tr w:rsidR="00555579" w:rsidTr="00555579">
        <w:tc>
          <w:tcPr>
            <w:tcW w:w="558" w:type="dxa"/>
          </w:tcPr>
          <w:p w:rsidR="00555579" w:rsidRDefault="00555579">
            <w:pPr>
              <w:rPr>
                <w:rFonts w:asciiTheme="majorHAnsi" w:hAnsiTheme="majorHAnsi"/>
              </w:rPr>
            </w:pPr>
            <w:r>
              <w:rPr>
                <w:rFonts w:asciiTheme="majorHAnsi" w:hAnsiTheme="majorHAnsi"/>
              </w:rPr>
              <w:t>18</w:t>
            </w:r>
          </w:p>
        </w:tc>
        <w:tc>
          <w:tcPr>
            <w:tcW w:w="7884" w:type="dxa"/>
          </w:tcPr>
          <w:p w:rsidR="00555579" w:rsidRPr="00CD536F" w:rsidRDefault="00555579" w:rsidP="00555579">
            <w:pPr>
              <w:tabs>
                <w:tab w:val="left" w:pos="3581"/>
              </w:tabs>
              <w:rPr>
                <w:rFonts w:asciiTheme="majorHAnsi" w:hAnsiTheme="majorHAnsi" w:cs="Microsoft Sans Serif"/>
                <w:bCs/>
              </w:rPr>
            </w:pPr>
            <w:r w:rsidRPr="00CD536F">
              <w:rPr>
                <w:rFonts w:asciiTheme="majorHAnsi" w:hAnsiTheme="majorHAnsi" w:cs="Microsoft Sans Serif"/>
                <w:bCs/>
              </w:rPr>
              <w:t>Develop Workforce Enhancement Initiative(s) to Support Access to Providers in Underserved Markets and Areas (i.e., Nurse Practitioners, Physician Assistants, nurses, educators, etc.)</w:t>
            </w:r>
            <w:r>
              <w:rPr>
                <w:rFonts w:asciiTheme="majorHAnsi" w:hAnsiTheme="majorHAnsi" w:cs="Microsoft Sans Serif"/>
                <w:bCs/>
              </w:rPr>
              <w:t>:</w:t>
            </w:r>
            <w:r w:rsidRPr="00CD536F">
              <w:rPr>
                <w:rFonts w:asciiTheme="majorHAnsi" w:hAnsiTheme="majorHAnsi" w:cs="Microsoft Sans Serif"/>
                <w:bCs/>
              </w:rPr>
              <w:t xml:space="preserve">  Create a health career resource center to encourage high school students and those looking for 2nd careers to explore health care options, receive assessments and career counseling. </w:t>
            </w:r>
          </w:p>
        </w:tc>
        <w:tc>
          <w:tcPr>
            <w:tcW w:w="1134" w:type="dxa"/>
          </w:tcPr>
          <w:p w:rsidR="00555579" w:rsidRPr="00CD536F" w:rsidRDefault="00555579" w:rsidP="00555579">
            <w:pPr>
              <w:tabs>
                <w:tab w:val="left" w:pos="3581"/>
              </w:tabs>
              <w:jc w:val="center"/>
              <w:rPr>
                <w:rFonts w:asciiTheme="majorHAnsi" w:hAnsiTheme="majorHAnsi"/>
              </w:rPr>
            </w:pPr>
            <w:r w:rsidRPr="00CD536F">
              <w:rPr>
                <w:rFonts w:asciiTheme="majorHAnsi" w:hAnsiTheme="majorHAnsi"/>
              </w:rPr>
              <w:t>2.67</w:t>
            </w:r>
          </w:p>
        </w:tc>
      </w:tr>
    </w:tbl>
    <w:p w:rsidR="00CD536F" w:rsidRPr="00CD536F" w:rsidRDefault="00CD536F" w:rsidP="00555579">
      <w:pPr>
        <w:rPr>
          <w:rFonts w:asciiTheme="majorHAnsi" w:hAnsiTheme="majorHAnsi"/>
        </w:rPr>
      </w:pPr>
    </w:p>
    <w:sectPr w:rsidR="00CD536F" w:rsidRPr="00CD53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FF" w:rsidRDefault="000B4BFF" w:rsidP="00D565DC">
      <w:pPr>
        <w:spacing w:line="240" w:lineRule="auto"/>
      </w:pPr>
      <w:r>
        <w:separator/>
      </w:r>
    </w:p>
  </w:endnote>
  <w:endnote w:type="continuationSeparator" w:id="0">
    <w:p w:rsidR="000B4BFF" w:rsidRDefault="000B4BFF" w:rsidP="00D56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DC" w:rsidRDefault="00D565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Survey Rankings of Initiatives – July 2012</w:t>
    </w:r>
  </w:p>
  <w:p w:rsidR="00D565DC" w:rsidRDefault="00D565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Workforce Workgroup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A2542" w:rsidRPr="005A254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565DC" w:rsidRDefault="00D56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FF" w:rsidRDefault="000B4BFF" w:rsidP="00D565DC">
      <w:pPr>
        <w:spacing w:line="240" w:lineRule="auto"/>
      </w:pPr>
      <w:r>
        <w:separator/>
      </w:r>
    </w:p>
  </w:footnote>
  <w:footnote w:type="continuationSeparator" w:id="0">
    <w:p w:rsidR="000B4BFF" w:rsidRDefault="000B4BFF" w:rsidP="00D565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50A0C8"/>
    <w:lvl w:ilvl="0">
      <w:start w:val="1"/>
      <w:numFmt w:val="bullet"/>
      <w:lvlText w:val=""/>
      <w:lvlJc w:val="left"/>
      <w:pPr>
        <w:tabs>
          <w:tab w:val="num" w:pos="720"/>
        </w:tabs>
        <w:ind w:left="720" w:hanging="360"/>
      </w:pPr>
      <w:rPr>
        <w:rFonts w:ascii="Symbol" w:hAnsi="Symbol" w:hint="default"/>
      </w:rPr>
    </w:lvl>
  </w:abstractNum>
  <w:abstractNum w:abstractNumId="1">
    <w:nsid w:val="3B0157E2"/>
    <w:multiLevelType w:val="hybridMultilevel"/>
    <w:tmpl w:val="71400712"/>
    <w:lvl w:ilvl="0" w:tplc="7FDA76AC">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6F"/>
    <w:rsid w:val="000B4BFF"/>
    <w:rsid w:val="00361098"/>
    <w:rsid w:val="004546D0"/>
    <w:rsid w:val="00555579"/>
    <w:rsid w:val="005A2542"/>
    <w:rsid w:val="006D1B33"/>
    <w:rsid w:val="00A87396"/>
    <w:rsid w:val="00BA3610"/>
    <w:rsid w:val="00CD536F"/>
    <w:rsid w:val="00D565DC"/>
    <w:rsid w:val="00EC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6D1B33"/>
    <w:pPr>
      <w:numPr>
        <w:numId w:val="2"/>
      </w:numPr>
      <w:spacing w:after="200" w:line="240" w:lineRule="auto"/>
    </w:pPr>
    <w:rPr>
      <w:rFonts w:ascii="Arial" w:eastAsia="Times New Roman" w:hAnsi="Arial" w:cs="Times New Roman"/>
    </w:rPr>
  </w:style>
  <w:style w:type="table" w:styleId="TableGrid">
    <w:name w:val="Table Grid"/>
    <w:basedOn w:val="TableNormal"/>
    <w:uiPriority w:val="59"/>
    <w:rsid w:val="00CD53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5DC"/>
    <w:pPr>
      <w:tabs>
        <w:tab w:val="center" w:pos="4680"/>
        <w:tab w:val="right" w:pos="9360"/>
      </w:tabs>
      <w:spacing w:line="240" w:lineRule="auto"/>
    </w:pPr>
  </w:style>
  <w:style w:type="character" w:customStyle="1" w:styleId="HeaderChar">
    <w:name w:val="Header Char"/>
    <w:basedOn w:val="DefaultParagraphFont"/>
    <w:link w:val="Header"/>
    <w:uiPriority w:val="99"/>
    <w:rsid w:val="00D565DC"/>
  </w:style>
  <w:style w:type="paragraph" w:styleId="Footer">
    <w:name w:val="footer"/>
    <w:basedOn w:val="Normal"/>
    <w:link w:val="FooterChar"/>
    <w:uiPriority w:val="99"/>
    <w:unhideWhenUsed/>
    <w:rsid w:val="00D565DC"/>
    <w:pPr>
      <w:tabs>
        <w:tab w:val="center" w:pos="4680"/>
        <w:tab w:val="right" w:pos="9360"/>
      </w:tabs>
      <w:spacing w:line="240" w:lineRule="auto"/>
    </w:pPr>
  </w:style>
  <w:style w:type="character" w:customStyle="1" w:styleId="FooterChar">
    <w:name w:val="Footer Char"/>
    <w:basedOn w:val="DefaultParagraphFont"/>
    <w:link w:val="Footer"/>
    <w:uiPriority w:val="99"/>
    <w:rsid w:val="00D565DC"/>
  </w:style>
  <w:style w:type="paragraph" w:styleId="BalloonText">
    <w:name w:val="Balloon Text"/>
    <w:basedOn w:val="Normal"/>
    <w:link w:val="BalloonTextChar"/>
    <w:uiPriority w:val="99"/>
    <w:semiHidden/>
    <w:unhideWhenUsed/>
    <w:rsid w:val="00D565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6D1B33"/>
    <w:pPr>
      <w:numPr>
        <w:numId w:val="2"/>
      </w:numPr>
      <w:spacing w:after="200" w:line="240" w:lineRule="auto"/>
    </w:pPr>
    <w:rPr>
      <w:rFonts w:ascii="Arial" w:eastAsia="Times New Roman" w:hAnsi="Arial" w:cs="Times New Roman"/>
    </w:rPr>
  </w:style>
  <w:style w:type="table" w:styleId="TableGrid">
    <w:name w:val="Table Grid"/>
    <w:basedOn w:val="TableNormal"/>
    <w:uiPriority w:val="59"/>
    <w:rsid w:val="00CD53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5DC"/>
    <w:pPr>
      <w:tabs>
        <w:tab w:val="center" w:pos="4680"/>
        <w:tab w:val="right" w:pos="9360"/>
      </w:tabs>
      <w:spacing w:line="240" w:lineRule="auto"/>
    </w:pPr>
  </w:style>
  <w:style w:type="character" w:customStyle="1" w:styleId="HeaderChar">
    <w:name w:val="Header Char"/>
    <w:basedOn w:val="DefaultParagraphFont"/>
    <w:link w:val="Header"/>
    <w:uiPriority w:val="99"/>
    <w:rsid w:val="00D565DC"/>
  </w:style>
  <w:style w:type="paragraph" w:styleId="Footer">
    <w:name w:val="footer"/>
    <w:basedOn w:val="Normal"/>
    <w:link w:val="FooterChar"/>
    <w:uiPriority w:val="99"/>
    <w:unhideWhenUsed/>
    <w:rsid w:val="00D565DC"/>
    <w:pPr>
      <w:tabs>
        <w:tab w:val="center" w:pos="4680"/>
        <w:tab w:val="right" w:pos="9360"/>
      </w:tabs>
      <w:spacing w:line="240" w:lineRule="auto"/>
    </w:pPr>
  </w:style>
  <w:style w:type="character" w:customStyle="1" w:styleId="FooterChar">
    <w:name w:val="Footer Char"/>
    <w:basedOn w:val="DefaultParagraphFont"/>
    <w:link w:val="Footer"/>
    <w:uiPriority w:val="99"/>
    <w:rsid w:val="00D565DC"/>
  </w:style>
  <w:style w:type="paragraph" w:styleId="BalloonText">
    <w:name w:val="Balloon Text"/>
    <w:basedOn w:val="Normal"/>
    <w:link w:val="BalloonTextChar"/>
    <w:uiPriority w:val="99"/>
    <w:semiHidden/>
    <w:unhideWhenUsed/>
    <w:rsid w:val="00D565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04">
      <w:bodyDiv w:val="1"/>
      <w:marLeft w:val="0"/>
      <w:marRight w:val="0"/>
      <w:marTop w:val="0"/>
      <w:marBottom w:val="0"/>
      <w:divBdr>
        <w:top w:val="none" w:sz="0" w:space="0" w:color="auto"/>
        <w:left w:val="none" w:sz="0" w:space="0" w:color="auto"/>
        <w:bottom w:val="none" w:sz="0" w:space="0" w:color="auto"/>
        <w:right w:val="none" w:sz="0" w:space="0" w:color="auto"/>
      </w:divBdr>
    </w:div>
    <w:div w:id="67657991">
      <w:bodyDiv w:val="1"/>
      <w:marLeft w:val="0"/>
      <w:marRight w:val="0"/>
      <w:marTop w:val="0"/>
      <w:marBottom w:val="0"/>
      <w:divBdr>
        <w:top w:val="none" w:sz="0" w:space="0" w:color="auto"/>
        <w:left w:val="none" w:sz="0" w:space="0" w:color="auto"/>
        <w:bottom w:val="none" w:sz="0" w:space="0" w:color="auto"/>
        <w:right w:val="none" w:sz="0" w:space="0" w:color="auto"/>
      </w:divBdr>
    </w:div>
    <w:div w:id="326519195">
      <w:bodyDiv w:val="1"/>
      <w:marLeft w:val="0"/>
      <w:marRight w:val="0"/>
      <w:marTop w:val="0"/>
      <w:marBottom w:val="0"/>
      <w:divBdr>
        <w:top w:val="none" w:sz="0" w:space="0" w:color="auto"/>
        <w:left w:val="none" w:sz="0" w:space="0" w:color="auto"/>
        <w:bottom w:val="none" w:sz="0" w:space="0" w:color="auto"/>
        <w:right w:val="none" w:sz="0" w:space="0" w:color="auto"/>
      </w:divBdr>
    </w:div>
    <w:div w:id="481316188">
      <w:bodyDiv w:val="1"/>
      <w:marLeft w:val="0"/>
      <w:marRight w:val="0"/>
      <w:marTop w:val="0"/>
      <w:marBottom w:val="0"/>
      <w:divBdr>
        <w:top w:val="none" w:sz="0" w:space="0" w:color="auto"/>
        <w:left w:val="none" w:sz="0" w:space="0" w:color="auto"/>
        <w:bottom w:val="none" w:sz="0" w:space="0" w:color="auto"/>
        <w:right w:val="none" w:sz="0" w:space="0" w:color="auto"/>
      </w:divBdr>
    </w:div>
    <w:div w:id="596641128">
      <w:bodyDiv w:val="1"/>
      <w:marLeft w:val="0"/>
      <w:marRight w:val="0"/>
      <w:marTop w:val="0"/>
      <w:marBottom w:val="0"/>
      <w:divBdr>
        <w:top w:val="none" w:sz="0" w:space="0" w:color="auto"/>
        <w:left w:val="none" w:sz="0" w:space="0" w:color="auto"/>
        <w:bottom w:val="none" w:sz="0" w:space="0" w:color="auto"/>
        <w:right w:val="none" w:sz="0" w:space="0" w:color="auto"/>
      </w:divBdr>
    </w:div>
    <w:div w:id="853499788">
      <w:bodyDiv w:val="1"/>
      <w:marLeft w:val="0"/>
      <w:marRight w:val="0"/>
      <w:marTop w:val="0"/>
      <w:marBottom w:val="0"/>
      <w:divBdr>
        <w:top w:val="none" w:sz="0" w:space="0" w:color="auto"/>
        <w:left w:val="none" w:sz="0" w:space="0" w:color="auto"/>
        <w:bottom w:val="none" w:sz="0" w:space="0" w:color="auto"/>
        <w:right w:val="none" w:sz="0" w:space="0" w:color="auto"/>
      </w:divBdr>
    </w:div>
    <w:div w:id="872613230">
      <w:bodyDiv w:val="1"/>
      <w:marLeft w:val="0"/>
      <w:marRight w:val="0"/>
      <w:marTop w:val="0"/>
      <w:marBottom w:val="0"/>
      <w:divBdr>
        <w:top w:val="none" w:sz="0" w:space="0" w:color="auto"/>
        <w:left w:val="none" w:sz="0" w:space="0" w:color="auto"/>
        <w:bottom w:val="none" w:sz="0" w:space="0" w:color="auto"/>
        <w:right w:val="none" w:sz="0" w:space="0" w:color="auto"/>
      </w:divBdr>
    </w:div>
    <w:div w:id="883324054">
      <w:bodyDiv w:val="1"/>
      <w:marLeft w:val="0"/>
      <w:marRight w:val="0"/>
      <w:marTop w:val="0"/>
      <w:marBottom w:val="0"/>
      <w:divBdr>
        <w:top w:val="none" w:sz="0" w:space="0" w:color="auto"/>
        <w:left w:val="none" w:sz="0" w:space="0" w:color="auto"/>
        <w:bottom w:val="none" w:sz="0" w:space="0" w:color="auto"/>
        <w:right w:val="none" w:sz="0" w:space="0" w:color="auto"/>
      </w:divBdr>
    </w:div>
    <w:div w:id="1227689348">
      <w:bodyDiv w:val="1"/>
      <w:marLeft w:val="0"/>
      <w:marRight w:val="0"/>
      <w:marTop w:val="0"/>
      <w:marBottom w:val="0"/>
      <w:divBdr>
        <w:top w:val="none" w:sz="0" w:space="0" w:color="auto"/>
        <w:left w:val="none" w:sz="0" w:space="0" w:color="auto"/>
        <w:bottom w:val="none" w:sz="0" w:space="0" w:color="auto"/>
        <w:right w:val="none" w:sz="0" w:space="0" w:color="auto"/>
      </w:divBdr>
    </w:div>
    <w:div w:id="1328898395">
      <w:bodyDiv w:val="1"/>
      <w:marLeft w:val="0"/>
      <w:marRight w:val="0"/>
      <w:marTop w:val="0"/>
      <w:marBottom w:val="0"/>
      <w:divBdr>
        <w:top w:val="none" w:sz="0" w:space="0" w:color="auto"/>
        <w:left w:val="none" w:sz="0" w:space="0" w:color="auto"/>
        <w:bottom w:val="none" w:sz="0" w:space="0" w:color="auto"/>
        <w:right w:val="none" w:sz="0" w:space="0" w:color="auto"/>
      </w:divBdr>
    </w:div>
    <w:div w:id="1335571385">
      <w:bodyDiv w:val="1"/>
      <w:marLeft w:val="0"/>
      <w:marRight w:val="0"/>
      <w:marTop w:val="0"/>
      <w:marBottom w:val="0"/>
      <w:divBdr>
        <w:top w:val="none" w:sz="0" w:space="0" w:color="auto"/>
        <w:left w:val="none" w:sz="0" w:space="0" w:color="auto"/>
        <w:bottom w:val="none" w:sz="0" w:space="0" w:color="auto"/>
        <w:right w:val="none" w:sz="0" w:space="0" w:color="auto"/>
      </w:divBdr>
    </w:div>
    <w:div w:id="1357925902">
      <w:bodyDiv w:val="1"/>
      <w:marLeft w:val="0"/>
      <w:marRight w:val="0"/>
      <w:marTop w:val="0"/>
      <w:marBottom w:val="0"/>
      <w:divBdr>
        <w:top w:val="none" w:sz="0" w:space="0" w:color="auto"/>
        <w:left w:val="none" w:sz="0" w:space="0" w:color="auto"/>
        <w:bottom w:val="none" w:sz="0" w:space="0" w:color="auto"/>
        <w:right w:val="none" w:sz="0" w:space="0" w:color="auto"/>
      </w:divBdr>
    </w:div>
    <w:div w:id="1527208569">
      <w:bodyDiv w:val="1"/>
      <w:marLeft w:val="0"/>
      <w:marRight w:val="0"/>
      <w:marTop w:val="0"/>
      <w:marBottom w:val="0"/>
      <w:divBdr>
        <w:top w:val="none" w:sz="0" w:space="0" w:color="auto"/>
        <w:left w:val="none" w:sz="0" w:space="0" w:color="auto"/>
        <w:bottom w:val="none" w:sz="0" w:space="0" w:color="auto"/>
        <w:right w:val="none" w:sz="0" w:space="0" w:color="auto"/>
      </w:divBdr>
    </w:div>
    <w:div w:id="1681003152">
      <w:bodyDiv w:val="1"/>
      <w:marLeft w:val="0"/>
      <w:marRight w:val="0"/>
      <w:marTop w:val="0"/>
      <w:marBottom w:val="0"/>
      <w:divBdr>
        <w:top w:val="none" w:sz="0" w:space="0" w:color="auto"/>
        <w:left w:val="none" w:sz="0" w:space="0" w:color="auto"/>
        <w:bottom w:val="none" w:sz="0" w:space="0" w:color="auto"/>
        <w:right w:val="none" w:sz="0" w:space="0" w:color="auto"/>
      </w:divBdr>
    </w:div>
    <w:div w:id="1727530468">
      <w:bodyDiv w:val="1"/>
      <w:marLeft w:val="0"/>
      <w:marRight w:val="0"/>
      <w:marTop w:val="0"/>
      <w:marBottom w:val="0"/>
      <w:divBdr>
        <w:top w:val="none" w:sz="0" w:space="0" w:color="auto"/>
        <w:left w:val="none" w:sz="0" w:space="0" w:color="auto"/>
        <w:bottom w:val="none" w:sz="0" w:space="0" w:color="auto"/>
        <w:right w:val="none" w:sz="0" w:space="0" w:color="auto"/>
      </w:divBdr>
    </w:div>
    <w:div w:id="1881623748">
      <w:bodyDiv w:val="1"/>
      <w:marLeft w:val="0"/>
      <w:marRight w:val="0"/>
      <w:marTop w:val="0"/>
      <w:marBottom w:val="0"/>
      <w:divBdr>
        <w:top w:val="none" w:sz="0" w:space="0" w:color="auto"/>
        <w:left w:val="none" w:sz="0" w:space="0" w:color="auto"/>
        <w:bottom w:val="none" w:sz="0" w:space="0" w:color="auto"/>
        <w:right w:val="none" w:sz="0" w:space="0" w:color="auto"/>
      </w:divBdr>
    </w:div>
    <w:div w:id="1953317908">
      <w:bodyDiv w:val="1"/>
      <w:marLeft w:val="0"/>
      <w:marRight w:val="0"/>
      <w:marTop w:val="0"/>
      <w:marBottom w:val="0"/>
      <w:divBdr>
        <w:top w:val="none" w:sz="0" w:space="0" w:color="auto"/>
        <w:left w:val="none" w:sz="0" w:space="0" w:color="auto"/>
        <w:bottom w:val="none" w:sz="0" w:space="0" w:color="auto"/>
        <w:right w:val="none" w:sz="0" w:space="0" w:color="auto"/>
      </w:divBdr>
    </w:div>
    <w:div w:id="20661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5870C9F4FB54298E0705047451BDD" ma:contentTypeVersion="1" ma:contentTypeDescription="Create a new document." ma:contentTypeScope="" ma:versionID="0a6768a50bd26a2de1f9ee6dbb682d9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FD88842-E79B-4AD3-BC72-58DF57A66A19}"/>
</file>

<file path=customXml/itemProps2.xml><?xml version="1.0" encoding="utf-8"?>
<ds:datastoreItem xmlns:ds="http://schemas.openxmlformats.org/officeDocument/2006/customXml" ds:itemID="{F752B0F0-F69C-41C4-B344-311372F5A30C}"/>
</file>

<file path=customXml/itemProps3.xml><?xml version="1.0" encoding="utf-8"?>
<ds:datastoreItem xmlns:ds="http://schemas.openxmlformats.org/officeDocument/2006/customXml" ds:itemID="{52010393-8F6C-40F7-9200-25143E61EBF4}"/>
</file>

<file path=docProps/app.xml><?xml version="1.0" encoding="utf-8"?>
<Properties xmlns="http://schemas.openxmlformats.org/officeDocument/2006/extended-properties" xmlns:vt="http://schemas.openxmlformats.org/officeDocument/2006/docPropsVTypes">
  <Template>Normal</Template>
  <TotalTime>4</TotalTime>
  <Pages>2</Pages>
  <Words>785</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Longley</dc:creator>
  <cp:lastModifiedBy>Scroggins, Karle G</cp:lastModifiedBy>
  <cp:revision>2</cp:revision>
  <dcterms:created xsi:type="dcterms:W3CDTF">2014-04-17T14:43:00Z</dcterms:created>
  <dcterms:modified xsi:type="dcterms:W3CDTF">2014-04-17T14:43:00Z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